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52D04" w:rsidRPr="00652D04" w:rsidTr="00BC700C">
        <w:tc>
          <w:tcPr>
            <w:tcW w:w="4513" w:type="dxa"/>
            <w:tcBorders>
              <w:bottom w:val="single" w:sz="4" w:space="0" w:color="auto"/>
            </w:tcBorders>
            <w:tcMar>
              <w:bottom w:w="170" w:type="dxa"/>
            </w:tcMar>
          </w:tcPr>
          <w:p w:rsidR="00BC700C" w:rsidRPr="00652D04" w:rsidRDefault="00BC700C" w:rsidP="00BC700C">
            <w:pPr>
              <w:rPr>
                <w:lang w:val="fr-FR"/>
              </w:rPr>
            </w:pPr>
            <w:bookmarkStart w:id="0" w:name="_GoBack"/>
            <w:bookmarkEnd w:id="0"/>
          </w:p>
        </w:tc>
        <w:tc>
          <w:tcPr>
            <w:tcW w:w="4337" w:type="dxa"/>
            <w:tcBorders>
              <w:bottom w:val="single" w:sz="4" w:space="0" w:color="auto"/>
            </w:tcBorders>
            <w:tcMar>
              <w:left w:w="0" w:type="dxa"/>
              <w:right w:w="0" w:type="dxa"/>
            </w:tcMar>
          </w:tcPr>
          <w:p w:rsidR="00BC700C" w:rsidRPr="00652D04" w:rsidRDefault="00BC700C" w:rsidP="00BC700C">
            <w:pPr>
              <w:rPr>
                <w:lang w:val="fr-FR"/>
              </w:rPr>
            </w:pPr>
            <w:r w:rsidRPr="00652D04">
              <w:rPr>
                <w:noProof/>
                <w:lang w:eastAsia="en-US"/>
              </w:rPr>
              <w:drawing>
                <wp:inline distT="0" distB="0" distL="0" distR="0" wp14:anchorId="722C693E" wp14:editId="2CCE52F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C700C" w:rsidRPr="00652D04" w:rsidRDefault="00BC700C" w:rsidP="00BC700C">
            <w:pPr>
              <w:jc w:val="right"/>
              <w:rPr>
                <w:lang w:val="fr-FR"/>
              </w:rPr>
            </w:pPr>
            <w:r w:rsidRPr="00652D04">
              <w:rPr>
                <w:b/>
                <w:sz w:val="40"/>
                <w:szCs w:val="40"/>
                <w:lang w:val="fr-FR"/>
              </w:rPr>
              <w:t>F</w:t>
            </w:r>
          </w:p>
        </w:tc>
      </w:tr>
      <w:tr w:rsidR="00652D04" w:rsidRPr="00652D04" w:rsidTr="00BC700C">
        <w:trPr>
          <w:trHeight w:hRule="exact" w:val="340"/>
        </w:trPr>
        <w:tc>
          <w:tcPr>
            <w:tcW w:w="9356" w:type="dxa"/>
            <w:gridSpan w:val="3"/>
            <w:tcBorders>
              <w:top w:val="single" w:sz="4" w:space="0" w:color="auto"/>
            </w:tcBorders>
            <w:tcMar>
              <w:top w:w="170" w:type="dxa"/>
              <w:left w:w="0" w:type="dxa"/>
              <w:right w:w="0" w:type="dxa"/>
            </w:tcMar>
            <w:vAlign w:val="bottom"/>
          </w:tcPr>
          <w:p w:rsidR="00BC700C" w:rsidRPr="00652D04" w:rsidRDefault="00BC700C" w:rsidP="00BC700C">
            <w:pPr>
              <w:jc w:val="right"/>
              <w:rPr>
                <w:rFonts w:ascii="Arial Black" w:hAnsi="Arial Black"/>
                <w:caps/>
                <w:sz w:val="15"/>
                <w:lang w:val="fr-FR"/>
              </w:rPr>
            </w:pPr>
            <w:r w:rsidRPr="00652D04">
              <w:rPr>
                <w:rFonts w:ascii="Arial Black" w:hAnsi="Arial Black"/>
                <w:caps/>
                <w:sz w:val="15"/>
                <w:lang w:val="fr-FR"/>
              </w:rPr>
              <w:t>A/55/</w:t>
            </w:r>
            <w:bookmarkStart w:id="1" w:name="Code"/>
            <w:bookmarkEnd w:id="1"/>
            <w:r w:rsidRPr="00652D04">
              <w:rPr>
                <w:rFonts w:ascii="Arial Black" w:hAnsi="Arial Black"/>
                <w:caps/>
                <w:sz w:val="15"/>
                <w:lang w:val="fr-FR"/>
              </w:rPr>
              <w:t xml:space="preserve">INF/11 </w:t>
            </w:r>
          </w:p>
        </w:tc>
      </w:tr>
      <w:tr w:rsidR="00652D04" w:rsidRPr="00652D04" w:rsidTr="00BC700C">
        <w:trPr>
          <w:trHeight w:hRule="exact" w:val="170"/>
        </w:trPr>
        <w:tc>
          <w:tcPr>
            <w:tcW w:w="9356" w:type="dxa"/>
            <w:gridSpan w:val="3"/>
            <w:noWrap/>
            <w:tcMar>
              <w:left w:w="0" w:type="dxa"/>
              <w:right w:w="0" w:type="dxa"/>
            </w:tcMar>
            <w:vAlign w:val="bottom"/>
          </w:tcPr>
          <w:p w:rsidR="00BC700C" w:rsidRPr="00652D04" w:rsidRDefault="00BC700C" w:rsidP="00BC700C">
            <w:pPr>
              <w:jc w:val="right"/>
              <w:rPr>
                <w:rFonts w:ascii="Arial Black" w:hAnsi="Arial Black"/>
                <w:caps/>
                <w:sz w:val="15"/>
                <w:lang w:val="fr-FR"/>
              </w:rPr>
            </w:pPr>
            <w:r w:rsidRPr="00652D04">
              <w:rPr>
                <w:rFonts w:ascii="Arial Black" w:hAnsi="Arial Black"/>
                <w:caps/>
                <w:sz w:val="15"/>
                <w:lang w:val="fr-FR"/>
              </w:rPr>
              <w:t>ORIGINAL</w:t>
            </w:r>
            <w:r w:rsidR="00B03A49" w:rsidRPr="00652D04">
              <w:rPr>
                <w:rFonts w:ascii="Arial Black" w:hAnsi="Arial Black"/>
                <w:caps/>
                <w:sz w:val="15"/>
                <w:lang w:val="fr-FR"/>
              </w:rPr>
              <w:t> </w:t>
            </w:r>
            <w:r w:rsidRPr="00652D04">
              <w:rPr>
                <w:rFonts w:ascii="Arial Black" w:hAnsi="Arial Black"/>
                <w:caps/>
                <w:sz w:val="15"/>
                <w:lang w:val="fr-FR"/>
              </w:rPr>
              <w:t xml:space="preserve">: </w:t>
            </w:r>
            <w:bookmarkStart w:id="2" w:name="Original"/>
            <w:bookmarkEnd w:id="2"/>
            <w:r w:rsidRPr="00652D04">
              <w:rPr>
                <w:rFonts w:ascii="Arial Black" w:hAnsi="Arial Black"/>
                <w:caps/>
                <w:sz w:val="15"/>
                <w:lang w:val="fr-FR"/>
              </w:rPr>
              <w:t>anglais</w:t>
            </w:r>
          </w:p>
        </w:tc>
      </w:tr>
      <w:tr w:rsidR="00A26606" w:rsidRPr="00652D04" w:rsidTr="00BC700C">
        <w:trPr>
          <w:trHeight w:hRule="exact" w:val="198"/>
        </w:trPr>
        <w:tc>
          <w:tcPr>
            <w:tcW w:w="9356" w:type="dxa"/>
            <w:gridSpan w:val="3"/>
            <w:tcMar>
              <w:left w:w="0" w:type="dxa"/>
              <w:right w:w="0" w:type="dxa"/>
            </w:tcMar>
            <w:vAlign w:val="bottom"/>
          </w:tcPr>
          <w:p w:rsidR="00BC700C" w:rsidRPr="00652D04" w:rsidRDefault="00BC700C" w:rsidP="00BC700C">
            <w:pPr>
              <w:jc w:val="right"/>
              <w:rPr>
                <w:rFonts w:ascii="Arial Black" w:hAnsi="Arial Black"/>
                <w:caps/>
                <w:sz w:val="15"/>
                <w:lang w:val="fr-FR"/>
              </w:rPr>
            </w:pPr>
            <w:r w:rsidRPr="00652D04">
              <w:rPr>
                <w:rFonts w:ascii="Arial Black" w:hAnsi="Arial Black"/>
                <w:caps/>
                <w:sz w:val="15"/>
                <w:lang w:val="fr-FR"/>
              </w:rPr>
              <w:t>DATE</w:t>
            </w:r>
            <w:r w:rsidR="00B03A49" w:rsidRPr="00652D04">
              <w:rPr>
                <w:rFonts w:ascii="Arial Black" w:hAnsi="Arial Black"/>
                <w:caps/>
                <w:sz w:val="15"/>
                <w:lang w:val="fr-FR"/>
              </w:rPr>
              <w:t> </w:t>
            </w:r>
            <w:r w:rsidRPr="00652D04">
              <w:rPr>
                <w:rFonts w:ascii="Arial Black" w:hAnsi="Arial Black"/>
                <w:caps/>
                <w:sz w:val="15"/>
                <w:lang w:val="fr-FR"/>
              </w:rPr>
              <w:t xml:space="preserve">: </w:t>
            </w:r>
            <w:bookmarkStart w:id="3" w:name="Date"/>
            <w:bookmarkEnd w:id="3"/>
            <w:r w:rsidRPr="00652D04">
              <w:rPr>
                <w:rFonts w:ascii="Arial Black" w:hAnsi="Arial Black"/>
                <w:caps/>
                <w:sz w:val="15"/>
                <w:lang w:val="fr-FR"/>
              </w:rPr>
              <w:t>22 octobre 2015</w:t>
            </w:r>
          </w:p>
        </w:tc>
      </w:tr>
    </w:tbl>
    <w:p w:rsidR="000006CC" w:rsidRPr="00652D04" w:rsidRDefault="000006CC" w:rsidP="00BC700C">
      <w:pPr>
        <w:rPr>
          <w:lang w:val="fr-FR"/>
        </w:rPr>
      </w:pPr>
    </w:p>
    <w:p w:rsidR="000006CC" w:rsidRPr="00652D04" w:rsidRDefault="000006CC" w:rsidP="00BC700C">
      <w:pPr>
        <w:rPr>
          <w:lang w:val="fr-FR"/>
        </w:rPr>
      </w:pPr>
    </w:p>
    <w:p w:rsidR="000006CC" w:rsidRPr="00652D04" w:rsidRDefault="000006CC" w:rsidP="00BC700C">
      <w:pPr>
        <w:rPr>
          <w:lang w:val="fr-FR"/>
        </w:rPr>
      </w:pPr>
    </w:p>
    <w:p w:rsidR="000006CC" w:rsidRPr="00652D04" w:rsidRDefault="000006CC" w:rsidP="00BC700C">
      <w:pPr>
        <w:rPr>
          <w:lang w:val="fr-FR"/>
        </w:rPr>
      </w:pPr>
    </w:p>
    <w:p w:rsidR="000006CC" w:rsidRPr="00652D04" w:rsidRDefault="000006CC" w:rsidP="00BC700C">
      <w:pPr>
        <w:rPr>
          <w:lang w:val="fr-FR"/>
        </w:rPr>
      </w:pPr>
    </w:p>
    <w:p w:rsidR="000006CC" w:rsidRPr="00652D04" w:rsidRDefault="00BC700C" w:rsidP="00BC700C">
      <w:pPr>
        <w:rPr>
          <w:lang w:val="fr-FR"/>
        </w:rPr>
      </w:pPr>
      <w:r w:rsidRPr="00652D04">
        <w:rPr>
          <w:b/>
          <w:sz w:val="28"/>
          <w:szCs w:val="28"/>
          <w:lang w:val="fr-FR"/>
        </w:rPr>
        <w:t>Assemblées des États membres de l</w:t>
      </w:r>
      <w:r w:rsidR="00D67156" w:rsidRPr="00652D04">
        <w:rPr>
          <w:b/>
          <w:sz w:val="28"/>
          <w:szCs w:val="28"/>
          <w:lang w:val="fr-FR"/>
        </w:rPr>
        <w:t>’</w:t>
      </w:r>
      <w:r w:rsidRPr="00652D04">
        <w:rPr>
          <w:b/>
          <w:sz w:val="28"/>
          <w:szCs w:val="28"/>
          <w:lang w:val="fr-FR"/>
        </w:rPr>
        <w:t>OMPI</w:t>
      </w:r>
    </w:p>
    <w:p w:rsidR="000006CC" w:rsidRPr="00652D04" w:rsidRDefault="000006CC" w:rsidP="00BC700C">
      <w:pPr>
        <w:rPr>
          <w:lang w:val="fr-FR"/>
        </w:rPr>
      </w:pPr>
    </w:p>
    <w:p w:rsidR="000006CC" w:rsidRPr="00652D04" w:rsidRDefault="000006CC" w:rsidP="00BC700C">
      <w:pPr>
        <w:rPr>
          <w:lang w:val="fr-FR"/>
        </w:rPr>
      </w:pPr>
    </w:p>
    <w:p w:rsidR="000006CC" w:rsidRPr="00652D04" w:rsidRDefault="00BC700C" w:rsidP="00BC700C">
      <w:pPr>
        <w:rPr>
          <w:b/>
          <w:sz w:val="24"/>
          <w:szCs w:val="24"/>
          <w:lang w:val="fr-FR"/>
        </w:rPr>
      </w:pPr>
      <w:r w:rsidRPr="00652D04">
        <w:rPr>
          <w:b/>
          <w:sz w:val="24"/>
          <w:szCs w:val="24"/>
          <w:lang w:val="fr-FR"/>
        </w:rPr>
        <w:t>Cinquante</w:t>
      </w:r>
      <w:r w:rsidR="00E70920" w:rsidRPr="00652D04">
        <w:rPr>
          <w:b/>
          <w:sz w:val="24"/>
          <w:szCs w:val="24"/>
          <w:lang w:val="fr-FR"/>
        </w:rPr>
        <w:noBreakHyphen/>
      </w:r>
      <w:r w:rsidRPr="00652D04">
        <w:rPr>
          <w:b/>
          <w:sz w:val="24"/>
          <w:szCs w:val="24"/>
          <w:lang w:val="fr-FR"/>
        </w:rPr>
        <w:t>cinquième série de réunions</w:t>
      </w:r>
    </w:p>
    <w:p w:rsidR="000006CC" w:rsidRPr="00652D04" w:rsidRDefault="00BC700C" w:rsidP="00BC700C">
      <w:pPr>
        <w:rPr>
          <w:lang w:val="fr-FR"/>
        </w:rPr>
      </w:pPr>
      <w:r w:rsidRPr="00652D04">
        <w:rPr>
          <w:b/>
          <w:sz w:val="24"/>
          <w:szCs w:val="24"/>
          <w:lang w:val="fr-FR"/>
        </w:rPr>
        <w:t>Genève, 5 – 1</w:t>
      </w:r>
      <w:r w:rsidR="00D67156" w:rsidRPr="00652D04">
        <w:rPr>
          <w:b/>
          <w:sz w:val="24"/>
          <w:szCs w:val="24"/>
          <w:lang w:val="fr-FR"/>
        </w:rPr>
        <w:t>4 octobre 20</w:t>
      </w:r>
      <w:r w:rsidRPr="00652D04">
        <w:rPr>
          <w:b/>
          <w:sz w:val="24"/>
          <w:szCs w:val="24"/>
          <w:lang w:val="fr-FR"/>
        </w:rPr>
        <w:t>15</w:t>
      </w:r>
    </w:p>
    <w:p w:rsidR="000006CC" w:rsidRPr="00652D04" w:rsidRDefault="000006CC" w:rsidP="00BC700C">
      <w:pPr>
        <w:rPr>
          <w:lang w:val="fr-FR"/>
        </w:rPr>
      </w:pPr>
    </w:p>
    <w:p w:rsidR="000006CC" w:rsidRPr="00652D04" w:rsidRDefault="000006CC" w:rsidP="00BC700C">
      <w:pPr>
        <w:rPr>
          <w:lang w:val="fr-FR"/>
        </w:rPr>
      </w:pPr>
    </w:p>
    <w:p w:rsidR="000006CC" w:rsidRPr="00652D04" w:rsidRDefault="000006CC" w:rsidP="00BC700C">
      <w:pPr>
        <w:rPr>
          <w:lang w:val="fr-FR"/>
        </w:rPr>
      </w:pPr>
    </w:p>
    <w:p w:rsidR="000006CC" w:rsidRPr="00652D04" w:rsidRDefault="00F96A79" w:rsidP="008B2CC1">
      <w:pPr>
        <w:rPr>
          <w:caps/>
          <w:sz w:val="24"/>
          <w:lang w:val="fr-FR"/>
        </w:rPr>
      </w:pPr>
      <w:r w:rsidRPr="00652D04">
        <w:rPr>
          <w:caps/>
          <w:sz w:val="24"/>
          <w:lang w:val="fr-FR"/>
        </w:rPr>
        <w:t>Liste des décisions</w:t>
      </w:r>
    </w:p>
    <w:p w:rsidR="000006CC" w:rsidRPr="00652D04" w:rsidRDefault="000006CC" w:rsidP="008B2CC1">
      <w:pPr>
        <w:rPr>
          <w:lang w:val="fr-FR"/>
        </w:rPr>
      </w:pPr>
    </w:p>
    <w:p w:rsidR="000006CC" w:rsidRPr="00652D04" w:rsidRDefault="00203172" w:rsidP="00203172">
      <w:pPr>
        <w:rPr>
          <w:i/>
          <w:lang w:val="fr-FR"/>
        </w:rPr>
      </w:pPr>
      <w:bookmarkStart w:id="4" w:name="Prepared"/>
      <w:bookmarkEnd w:id="4"/>
      <w:r w:rsidRPr="00652D04">
        <w:rPr>
          <w:i/>
          <w:lang w:val="fr-FR"/>
        </w:rPr>
        <w:t>Document établi par le Secrétariat</w:t>
      </w:r>
    </w:p>
    <w:p w:rsidR="000006CC" w:rsidRPr="00652D04" w:rsidRDefault="000006CC">
      <w:pPr>
        <w:rPr>
          <w:lang w:val="fr-FR"/>
        </w:rPr>
      </w:pPr>
    </w:p>
    <w:p w:rsidR="000006CC" w:rsidRPr="00652D04" w:rsidRDefault="000006CC">
      <w:pPr>
        <w:rPr>
          <w:lang w:val="fr-FR"/>
        </w:rPr>
      </w:pPr>
    </w:p>
    <w:p w:rsidR="000006CC" w:rsidRPr="00652D04" w:rsidRDefault="000006CC">
      <w:pPr>
        <w:rPr>
          <w:lang w:val="fr-FR"/>
        </w:rPr>
      </w:pPr>
    </w:p>
    <w:p w:rsidR="000006CC" w:rsidRPr="00652D04" w:rsidRDefault="000006CC" w:rsidP="0053057A">
      <w:pPr>
        <w:rPr>
          <w:lang w:val="fr-FR"/>
        </w:rPr>
      </w:pPr>
    </w:p>
    <w:p w:rsidR="000006CC" w:rsidRPr="00652D04" w:rsidRDefault="00203172" w:rsidP="00F96A79">
      <w:pPr>
        <w:pStyle w:val="Heading2"/>
        <w:rPr>
          <w:lang w:val="fr-FR"/>
        </w:rPr>
      </w:pPr>
      <w:r w:rsidRPr="00652D04">
        <w:rPr>
          <w:lang w:val="fr-FR"/>
        </w:rPr>
        <w:t>Point</w:t>
      </w:r>
      <w:r w:rsidR="00B03A49" w:rsidRPr="00652D04">
        <w:rPr>
          <w:lang w:val="fr-FR"/>
        </w:rPr>
        <w:t> </w:t>
      </w:r>
      <w:r w:rsidRPr="00652D04">
        <w:rPr>
          <w:lang w:val="fr-FR"/>
        </w:rPr>
        <w:t>1 de l</w:t>
      </w:r>
      <w:r w:rsidR="00D67156" w:rsidRPr="00652D04">
        <w:rPr>
          <w:lang w:val="fr-FR"/>
        </w:rPr>
        <w:t>’</w:t>
      </w:r>
      <w:r w:rsidRPr="00652D04">
        <w:rPr>
          <w:lang w:val="fr-FR"/>
        </w:rPr>
        <w:t>ordre du jour unifié</w:t>
      </w:r>
    </w:p>
    <w:p w:rsidR="000006CC" w:rsidRPr="00652D04" w:rsidRDefault="0021535D" w:rsidP="00F96A79">
      <w:pPr>
        <w:pStyle w:val="Heading2"/>
        <w:rPr>
          <w:lang w:val="fr-FR"/>
        </w:rPr>
      </w:pPr>
      <w:r w:rsidRPr="00652D04">
        <w:rPr>
          <w:lang w:val="fr-FR"/>
        </w:rPr>
        <w:t>Ouverture des sessions</w:t>
      </w:r>
    </w:p>
    <w:p w:rsidR="000006CC" w:rsidRPr="00652D04" w:rsidRDefault="000006CC">
      <w:pPr>
        <w:rPr>
          <w:lang w:val="fr-FR"/>
        </w:rPr>
      </w:pPr>
    </w:p>
    <w:p w:rsidR="000006CC" w:rsidRPr="00652D04" w:rsidRDefault="002A1839" w:rsidP="00F96A79">
      <w:pPr>
        <w:pStyle w:val="ONUMFS"/>
        <w:numPr>
          <w:ilvl w:val="0"/>
          <w:numId w:val="0"/>
        </w:numPr>
        <w:rPr>
          <w:lang w:val="fr-FR"/>
        </w:rPr>
      </w:pPr>
      <w:r w:rsidRPr="00652D04">
        <w:rPr>
          <w:lang w:val="fr-FR"/>
        </w:rPr>
        <w:t>La cinquante</w:t>
      </w:r>
      <w:r w:rsidR="00E70920" w:rsidRPr="00652D04">
        <w:rPr>
          <w:lang w:val="fr-FR"/>
        </w:rPr>
        <w:noBreakHyphen/>
      </w:r>
      <w:r w:rsidRPr="00652D04">
        <w:rPr>
          <w:lang w:val="fr-FR"/>
        </w:rPr>
        <w:t>cinquième série de réunions des assemblées et autres organes des États membres de l</w:t>
      </w:r>
      <w:r w:rsidR="00D67156" w:rsidRPr="00652D04">
        <w:rPr>
          <w:lang w:val="fr-FR"/>
        </w:rPr>
        <w:t>’</w:t>
      </w:r>
      <w:r w:rsidRPr="00652D04">
        <w:rPr>
          <w:lang w:val="fr-FR"/>
        </w:rPr>
        <w:t>OMPI était convoquée par le Directeur général de l</w:t>
      </w:r>
      <w:r w:rsidR="00D67156" w:rsidRPr="00652D04">
        <w:rPr>
          <w:lang w:val="fr-FR"/>
        </w:rPr>
        <w:t>’</w:t>
      </w:r>
      <w:r w:rsidRPr="00652D04">
        <w:rPr>
          <w:lang w:val="fr-FR"/>
        </w:rPr>
        <w:t xml:space="preserve">OMPI, M. Francis Gurry, et </w:t>
      </w:r>
      <w:r w:rsidR="005D2B4C" w:rsidRPr="00652D04">
        <w:rPr>
          <w:lang w:val="fr-FR"/>
        </w:rPr>
        <w:t>a été ouverte</w:t>
      </w:r>
      <w:r w:rsidRPr="00652D04">
        <w:rPr>
          <w:lang w:val="fr-FR"/>
        </w:rPr>
        <w:t xml:space="preserve"> lors d</w:t>
      </w:r>
      <w:r w:rsidR="00D67156" w:rsidRPr="00652D04">
        <w:rPr>
          <w:lang w:val="fr-FR"/>
        </w:rPr>
        <w:t>’</w:t>
      </w:r>
      <w:r w:rsidRPr="00652D04">
        <w:rPr>
          <w:lang w:val="fr-FR"/>
        </w:rPr>
        <w:t>une séance commune par la présidente sortante de l</w:t>
      </w:r>
      <w:r w:rsidR="00D67156" w:rsidRPr="00652D04">
        <w:rPr>
          <w:lang w:val="fr-FR"/>
        </w:rPr>
        <w:t>’</w:t>
      </w:r>
      <w:r w:rsidRPr="00652D04">
        <w:rPr>
          <w:lang w:val="fr-FR"/>
        </w:rPr>
        <w:t>Assemblée générale, Mme l</w:t>
      </w:r>
      <w:r w:rsidR="00D67156" w:rsidRPr="00652D04">
        <w:rPr>
          <w:lang w:val="fr-FR"/>
        </w:rPr>
        <w:t>’</w:t>
      </w:r>
      <w:r w:rsidRPr="00652D04">
        <w:rPr>
          <w:lang w:val="fr-FR"/>
        </w:rPr>
        <w:t xml:space="preserve">Ambassadrice </w:t>
      </w:r>
      <w:proofErr w:type="spellStart"/>
      <w:r w:rsidRPr="00652D04">
        <w:rPr>
          <w:szCs w:val="22"/>
          <w:lang w:val="fr-FR"/>
        </w:rPr>
        <w:t>Päivi</w:t>
      </w:r>
      <w:proofErr w:type="spellEnd"/>
      <w:r w:rsidRPr="00652D04">
        <w:rPr>
          <w:szCs w:val="22"/>
          <w:lang w:val="fr-FR"/>
        </w:rPr>
        <w:t> </w:t>
      </w:r>
      <w:proofErr w:type="spellStart"/>
      <w:r w:rsidRPr="00652D04">
        <w:rPr>
          <w:szCs w:val="22"/>
          <w:lang w:val="fr-FR"/>
        </w:rPr>
        <w:t>Kairamo</w:t>
      </w:r>
      <w:proofErr w:type="spellEnd"/>
      <w:r w:rsidRPr="00652D04">
        <w:rPr>
          <w:szCs w:val="22"/>
          <w:lang w:val="fr-FR"/>
        </w:rPr>
        <w:t xml:space="preserve"> </w:t>
      </w:r>
      <w:r w:rsidRPr="00652D04">
        <w:rPr>
          <w:lang w:val="fr-FR"/>
        </w:rPr>
        <w:t>(Finlande).</w:t>
      </w:r>
    </w:p>
    <w:p w:rsidR="000006CC" w:rsidRPr="00652D04" w:rsidRDefault="0021535D" w:rsidP="00F96A79">
      <w:pPr>
        <w:pStyle w:val="Heading2"/>
        <w:rPr>
          <w:lang w:val="fr-FR"/>
        </w:rPr>
      </w:pPr>
      <w:r w:rsidRPr="00652D04">
        <w:rPr>
          <w:lang w:val="fr-FR"/>
        </w:rPr>
        <w:t>Point</w:t>
      </w:r>
      <w:r w:rsidR="00B03A49" w:rsidRPr="00652D04">
        <w:rPr>
          <w:lang w:val="fr-FR"/>
        </w:rPr>
        <w:t> </w:t>
      </w:r>
      <w:r w:rsidRPr="00652D04">
        <w:rPr>
          <w:lang w:val="fr-FR"/>
        </w:rPr>
        <w:t>2 de l</w:t>
      </w:r>
      <w:r w:rsidR="00D67156" w:rsidRPr="00652D04">
        <w:rPr>
          <w:lang w:val="fr-FR"/>
        </w:rPr>
        <w:t>’</w:t>
      </w:r>
      <w:r w:rsidRPr="00652D04">
        <w:rPr>
          <w:lang w:val="fr-FR"/>
        </w:rPr>
        <w:t>ordre du jour unifié</w:t>
      </w:r>
    </w:p>
    <w:p w:rsidR="000006CC" w:rsidRPr="00652D04" w:rsidRDefault="0021535D" w:rsidP="00F96A79">
      <w:pPr>
        <w:pStyle w:val="Heading2"/>
        <w:rPr>
          <w:lang w:val="fr-FR"/>
        </w:rPr>
      </w:pPr>
      <w:r w:rsidRPr="00652D04">
        <w:rPr>
          <w:lang w:val="fr-FR"/>
        </w:rPr>
        <w:t>Élection des membres des bureaux</w:t>
      </w:r>
    </w:p>
    <w:p w:rsidR="000006CC" w:rsidRPr="00652D04" w:rsidRDefault="000006CC" w:rsidP="009817D3">
      <w:pPr>
        <w:rPr>
          <w:lang w:val="fr-FR"/>
        </w:rPr>
      </w:pPr>
    </w:p>
    <w:p w:rsidR="000006CC" w:rsidRPr="00652D04" w:rsidRDefault="005D2B4C" w:rsidP="00F96A79">
      <w:pPr>
        <w:pStyle w:val="ONUMFS"/>
        <w:numPr>
          <w:ilvl w:val="0"/>
          <w:numId w:val="0"/>
        </w:numPr>
        <w:rPr>
          <w:i/>
          <w:lang w:val="fr-FR"/>
        </w:rPr>
      </w:pPr>
      <w:r w:rsidRPr="00652D04">
        <w:rPr>
          <w:lang w:val="fr-FR"/>
        </w:rPr>
        <w:t>Les</w:t>
      </w:r>
      <w:r w:rsidR="006B3B7E" w:rsidRPr="00652D04">
        <w:rPr>
          <w:lang w:val="fr-FR"/>
        </w:rPr>
        <w:t xml:space="preserve"> assemblées et autres organes intéressés ont élu les membres de leurs bureaux respectifs, </w:t>
      </w:r>
      <w:r w:rsidR="00D67156" w:rsidRPr="00652D04">
        <w:rPr>
          <w:lang w:val="fr-FR"/>
        </w:rPr>
        <w:t>à savoir</w:t>
      </w:r>
      <w:r w:rsidR="006B3B7E" w:rsidRPr="00652D04">
        <w:rPr>
          <w:lang w:val="fr-FR"/>
        </w:rPr>
        <w:t xml:space="preserve"> </w:t>
      </w:r>
      <w:r w:rsidR="00816E56" w:rsidRPr="00652D04">
        <w:rPr>
          <w:lang w:val="fr-FR"/>
        </w:rPr>
        <w:t>M. </w:t>
      </w:r>
      <w:r w:rsidR="006B3B7E" w:rsidRPr="00652D04">
        <w:rPr>
          <w:lang w:val="fr-FR"/>
        </w:rPr>
        <w:t>l</w:t>
      </w:r>
      <w:r w:rsidR="00D67156" w:rsidRPr="00652D04">
        <w:rPr>
          <w:lang w:val="fr-FR"/>
        </w:rPr>
        <w:t>’</w:t>
      </w:r>
      <w:r w:rsidR="006B3B7E" w:rsidRPr="00652D04">
        <w:rPr>
          <w:lang w:val="fr-FR"/>
        </w:rPr>
        <w:t xml:space="preserve">Ambassadeur </w:t>
      </w:r>
      <w:r w:rsidR="003F309F" w:rsidRPr="00652D04">
        <w:rPr>
          <w:lang w:val="fr-FR"/>
        </w:rPr>
        <w:t>Gabriel </w:t>
      </w:r>
      <w:r w:rsidR="006B3B7E" w:rsidRPr="00652D04">
        <w:rPr>
          <w:lang w:val="fr-FR"/>
        </w:rPr>
        <w:t>Duque (Colombie) président de l</w:t>
      </w:r>
      <w:r w:rsidR="00D67156" w:rsidRPr="00652D04">
        <w:rPr>
          <w:lang w:val="fr-FR"/>
        </w:rPr>
        <w:t>’</w:t>
      </w:r>
      <w:r w:rsidR="006B3B7E" w:rsidRPr="00652D04">
        <w:rPr>
          <w:lang w:val="fr-FR"/>
        </w:rPr>
        <w:t>Assemblée générale</w:t>
      </w:r>
      <w:r w:rsidR="00811466" w:rsidRPr="00652D04">
        <w:rPr>
          <w:lang w:val="fr-FR"/>
        </w:rPr>
        <w:t xml:space="preserve">, </w:t>
      </w:r>
      <w:r w:rsidR="00816E56" w:rsidRPr="00652D04">
        <w:rPr>
          <w:lang w:val="fr-FR"/>
        </w:rPr>
        <w:t>M. </w:t>
      </w:r>
      <w:r w:rsidR="006B3B7E" w:rsidRPr="00652D04">
        <w:rPr>
          <w:lang w:val="fr-FR"/>
        </w:rPr>
        <w:t>l</w:t>
      </w:r>
      <w:r w:rsidR="00D67156" w:rsidRPr="00652D04">
        <w:rPr>
          <w:lang w:val="fr-FR"/>
        </w:rPr>
        <w:t>’</w:t>
      </w:r>
      <w:r w:rsidR="006B3B7E" w:rsidRPr="00652D04">
        <w:rPr>
          <w:lang w:val="fr-FR"/>
        </w:rPr>
        <w:t xml:space="preserve">Ambassadeur </w:t>
      </w:r>
      <w:r w:rsidR="00147C76" w:rsidRPr="00652D04">
        <w:rPr>
          <w:lang w:val="fr-FR"/>
        </w:rPr>
        <w:t>Fran</w:t>
      </w:r>
      <w:r w:rsidR="003F309F" w:rsidRPr="00652D04">
        <w:rPr>
          <w:lang w:val="fr-FR"/>
        </w:rPr>
        <w:t>ç</w:t>
      </w:r>
      <w:r w:rsidR="00816E56" w:rsidRPr="00652D04">
        <w:rPr>
          <w:lang w:val="fr-FR"/>
        </w:rPr>
        <w:t>ois Xavier </w:t>
      </w:r>
      <w:proofErr w:type="spellStart"/>
      <w:r w:rsidR="00147C76" w:rsidRPr="00652D04">
        <w:rPr>
          <w:lang w:val="fr-FR"/>
        </w:rPr>
        <w:t>Ngarambé</w:t>
      </w:r>
      <w:proofErr w:type="spellEnd"/>
      <w:r w:rsidR="00147C76" w:rsidRPr="00652D04">
        <w:rPr>
          <w:lang w:val="fr-FR"/>
        </w:rPr>
        <w:t xml:space="preserve"> (Rwanda) </w:t>
      </w:r>
      <w:r w:rsidR="006B3B7E" w:rsidRPr="00652D04">
        <w:rPr>
          <w:lang w:val="fr-FR"/>
        </w:rPr>
        <w:t>président du Comité de Coordination</w:t>
      </w:r>
      <w:r w:rsidR="0078746A" w:rsidRPr="00652D04">
        <w:rPr>
          <w:lang w:val="fr-FR"/>
        </w:rPr>
        <w:t>,</w:t>
      </w:r>
      <w:r w:rsidR="006B3B7E" w:rsidRPr="00652D04">
        <w:rPr>
          <w:lang w:val="fr-FR"/>
        </w:rPr>
        <w:t xml:space="preserve"> ainsi que </w:t>
      </w:r>
      <w:r w:rsidRPr="00652D04">
        <w:rPr>
          <w:lang w:val="fr-FR"/>
        </w:rPr>
        <w:t>les</w:t>
      </w:r>
      <w:r w:rsidR="006B3B7E" w:rsidRPr="00652D04">
        <w:rPr>
          <w:lang w:val="fr-FR"/>
        </w:rPr>
        <w:t xml:space="preserve"> membres des bureaux qui figurent dans le </w:t>
      </w:r>
      <w:r w:rsidR="00147C76" w:rsidRPr="00652D04">
        <w:rPr>
          <w:lang w:val="fr-FR"/>
        </w:rPr>
        <w:t>document A/55/INF/4</w:t>
      </w:r>
      <w:r w:rsidR="00811466" w:rsidRPr="00652D04">
        <w:rPr>
          <w:lang w:val="fr-FR"/>
        </w:rPr>
        <w:t xml:space="preserve"> </w:t>
      </w:r>
      <w:r w:rsidR="00811466" w:rsidRPr="00652D04">
        <w:rPr>
          <w:i/>
          <w:lang w:val="fr-FR"/>
        </w:rPr>
        <w:t>(note</w:t>
      </w:r>
      <w:r w:rsidR="006B3B7E" w:rsidRPr="00652D04">
        <w:rPr>
          <w:i/>
          <w:lang w:val="fr-FR"/>
        </w:rPr>
        <w:t> :</w:t>
      </w:r>
      <w:r w:rsidR="00811466" w:rsidRPr="00652D04">
        <w:rPr>
          <w:i/>
          <w:lang w:val="fr-FR"/>
        </w:rPr>
        <w:t xml:space="preserve"> </w:t>
      </w:r>
      <w:r w:rsidR="006B3B7E" w:rsidRPr="00652D04">
        <w:rPr>
          <w:i/>
          <w:lang w:val="fr-FR"/>
        </w:rPr>
        <w:t>tous les documents mentionnés sont disponibles à l</w:t>
      </w:r>
      <w:r w:rsidR="00D67156" w:rsidRPr="00652D04">
        <w:rPr>
          <w:i/>
          <w:lang w:val="fr-FR"/>
        </w:rPr>
        <w:t>’</w:t>
      </w:r>
      <w:r w:rsidR="006B3B7E" w:rsidRPr="00652D04">
        <w:rPr>
          <w:i/>
          <w:lang w:val="fr-FR"/>
        </w:rPr>
        <w:t>adresse</w:t>
      </w:r>
      <w:r w:rsidR="00811466" w:rsidRPr="00652D04">
        <w:rPr>
          <w:i/>
          <w:lang w:val="fr-FR"/>
        </w:rPr>
        <w:t xml:space="preserve"> http://www.wipo.int/about</w:t>
      </w:r>
      <w:r w:rsidR="00E70920" w:rsidRPr="00652D04">
        <w:rPr>
          <w:i/>
          <w:lang w:val="fr-FR"/>
        </w:rPr>
        <w:noBreakHyphen/>
      </w:r>
      <w:r w:rsidR="00811466" w:rsidRPr="00652D04">
        <w:rPr>
          <w:i/>
          <w:lang w:val="fr-FR"/>
        </w:rPr>
        <w:t>wipo/</w:t>
      </w:r>
      <w:r w:rsidR="006B3B7E" w:rsidRPr="00652D04">
        <w:rPr>
          <w:i/>
          <w:lang w:val="fr-FR"/>
        </w:rPr>
        <w:t>fr</w:t>
      </w:r>
      <w:r w:rsidR="00811466" w:rsidRPr="00652D04">
        <w:rPr>
          <w:i/>
          <w:lang w:val="fr-FR"/>
        </w:rPr>
        <w:t>/assemblies/2015/a_55/agenda.html)</w:t>
      </w:r>
      <w:r w:rsidR="00147C76" w:rsidRPr="00652D04">
        <w:rPr>
          <w:lang w:val="fr-FR"/>
        </w:rPr>
        <w:t>.</w:t>
      </w:r>
    </w:p>
    <w:p w:rsidR="000006CC" w:rsidRPr="00652D04" w:rsidRDefault="0021535D" w:rsidP="00F96A79">
      <w:pPr>
        <w:pStyle w:val="Heading2"/>
        <w:rPr>
          <w:lang w:val="fr-FR"/>
        </w:rPr>
      </w:pPr>
      <w:r w:rsidRPr="00652D04">
        <w:rPr>
          <w:lang w:val="fr-FR"/>
        </w:rPr>
        <w:lastRenderedPageBreak/>
        <w:t>Point</w:t>
      </w:r>
      <w:r w:rsidR="00B03A49" w:rsidRPr="00652D04">
        <w:rPr>
          <w:lang w:val="fr-FR"/>
        </w:rPr>
        <w:t> </w:t>
      </w:r>
      <w:r w:rsidRPr="00652D04">
        <w:rPr>
          <w:lang w:val="fr-FR"/>
        </w:rPr>
        <w:t>3 de l</w:t>
      </w:r>
      <w:r w:rsidR="00D67156" w:rsidRPr="00652D04">
        <w:rPr>
          <w:lang w:val="fr-FR"/>
        </w:rPr>
        <w:t>’</w:t>
      </w:r>
      <w:r w:rsidRPr="00652D04">
        <w:rPr>
          <w:lang w:val="fr-FR"/>
        </w:rPr>
        <w:t>ordre du jour unifié</w:t>
      </w:r>
    </w:p>
    <w:p w:rsidR="000006CC" w:rsidRPr="00652D04" w:rsidRDefault="0021535D" w:rsidP="00F96A79">
      <w:pPr>
        <w:pStyle w:val="Heading2"/>
        <w:rPr>
          <w:lang w:val="fr-FR"/>
        </w:rPr>
      </w:pPr>
      <w:r w:rsidRPr="00652D04">
        <w:rPr>
          <w:lang w:val="fr-FR"/>
        </w:rPr>
        <w:t>Adoption de l</w:t>
      </w:r>
      <w:r w:rsidR="00D67156" w:rsidRPr="00652D04">
        <w:rPr>
          <w:lang w:val="fr-FR"/>
        </w:rPr>
        <w:t>’</w:t>
      </w:r>
      <w:r w:rsidRPr="00652D04">
        <w:rPr>
          <w:lang w:val="fr-FR"/>
        </w:rPr>
        <w:t>ordre du jour</w:t>
      </w:r>
    </w:p>
    <w:p w:rsidR="000006CC" w:rsidRPr="00652D04" w:rsidRDefault="000006CC" w:rsidP="009817D3">
      <w:pPr>
        <w:keepNext/>
        <w:rPr>
          <w:lang w:val="fr-FR"/>
        </w:rPr>
      </w:pPr>
    </w:p>
    <w:p w:rsidR="000006CC" w:rsidRPr="00652D04" w:rsidRDefault="0078746A" w:rsidP="00F96A79">
      <w:pPr>
        <w:pStyle w:val="ONUMFS"/>
        <w:numPr>
          <w:ilvl w:val="0"/>
          <w:numId w:val="0"/>
        </w:numPr>
        <w:rPr>
          <w:lang w:val="fr-FR"/>
        </w:rPr>
      </w:pPr>
      <w:r w:rsidRPr="00652D04">
        <w:rPr>
          <w:lang w:val="fr-FR"/>
        </w:rPr>
        <w:t>Les</w:t>
      </w:r>
      <w:r w:rsidR="0002588C" w:rsidRPr="00652D04">
        <w:rPr>
          <w:lang w:val="fr-FR"/>
        </w:rPr>
        <w:t xml:space="preserve"> assemblées et autres organes intéressés ont adopté leur ordre du jour tel </w:t>
      </w:r>
      <w:r w:rsidR="00834282" w:rsidRPr="00652D04">
        <w:rPr>
          <w:lang w:val="fr-FR"/>
        </w:rPr>
        <w:t>qu</w:t>
      </w:r>
      <w:r w:rsidR="00D67156" w:rsidRPr="00652D04">
        <w:rPr>
          <w:lang w:val="fr-FR"/>
        </w:rPr>
        <w:t>’</w:t>
      </w:r>
      <w:r w:rsidR="00834282" w:rsidRPr="00652D04">
        <w:rPr>
          <w:lang w:val="fr-FR"/>
        </w:rPr>
        <w:t>il était</w:t>
      </w:r>
      <w:r w:rsidR="0002588C" w:rsidRPr="00652D04">
        <w:rPr>
          <w:lang w:val="fr-FR"/>
        </w:rPr>
        <w:t xml:space="preserve"> proposé dans le document A/55/1 Prov.5, étant entendu que, conformément à la recommandation</w:t>
      </w:r>
      <w:r w:rsidR="00D67156" w:rsidRPr="00652D04">
        <w:rPr>
          <w:lang w:val="fr-FR"/>
        </w:rPr>
        <w:t xml:space="preserve"> du PBC</w:t>
      </w:r>
      <w:r w:rsidR="0002588C" w:rsidRPr="00652D04">
        <w:rPr>
          <w:lang w:val="fr-FR"/>
        </w:rPr>
        <w:t xml:space="preserve">, les unions </w:t>
      </w:r>
      <w:r w:rsidR="00B03A49" w:rsidRPr="00652D04">
        <w:rPr>
          <w:lang w:val="fr-FR"/>
        </w:rPr>
        <w:t>“</w:t>
      </w:r>
      <w:r w:rsidR="00834282" w:rsidRPr="00652D04">
        <w:rPr>
          <w:lang w:val="fr-FR"/>
        </w:rPr>
        <w:t>financées par des taxes</w:t>
      </w:r>
      <w:r w:rsidR="00B03A49" w:rsidRPr="00652D04">
        <w:rPr>
          <w:lang w:val="fr-FR"/>
        </w:rPr>
        <w:t>”</w:t>
      </w:r>
      <w:r w:rsidR="0002588C" w:rsidRPr="00652D04">
        <w:rPr>
          <w:lang w:val="fr-FR"/>
        </w:rPr>
        <w:t xml:space="preserve"> (points</w:t>
      </w:r>
      <w:r w:rsidR="00B03A49" w:rsidRPr="00652D04">
        <w:rPr>
          <w:lang w:val="fr-FR"/>
        </w:rPr>
        <w:t> </w:t>
      </w:r>
      <w:r w:rsidR="00E70920" w:rsidRPr="00652D04">
        <w:rPr>
          <w:lang w:val="fr-FR"/>
        </w:rPr>
        <w:t>19 à </w:t>
      </w:r>
      <w:r w:rsidR="0002588C" w:rsidRPr="00652D04">
        <w:rPr>
          <w:lang w:val="fr-FR"/>
        </w:rPr>
        <w:t>22 de l</w:t>
      </w:r>
      <w:r w:rsidR="00D67156" w:rsidRPr="00652D04">
        <w:rPr>
          <w:lang w:val="fr-FR"/>
        </w:rPr>
        <w:t>’</w:t>
      </w:r>
      <w:r w:rsidR="0002588C" w:rsidRPr="00652D04">
        <w:rPr>
          <w:lang w:val="fr-FR"/>
        </w:rPr>
        <w:t>ordre du jour) se réuniraient avant l</w:t>
      </w:r>
      <w:r w:rsidR="00D67156" w:rsidRPr="00652D04">
        <w:rPr>
          <w:lang w:val="fr-FR"/>
        </w:rPr>
        <w:t>’</w:t>
      </w:r>
      <w:r w:rsidR="0002588C" w:rsidRPr="00652D04">
        <w:rPr>
          <w:lang w:val="fr-FR"/>
        </w:rPr>
        <w:t>examen du programme et budget proposé pour</w:t>
      </w:r>
      <w:r w:rsidR="00B03A49" w:rsidRPr="00652D04">
        <w:rPr>
          <w:lang w:val="fr-FR"/>
        </w:rPr>
        <w:t> </w:t>
      </w:r>
      <w:r w:rsidR="0002588C" w:rsidRPr="00652D04">
        <w:rPr>
          <w:lang w:val="fr-FR"/>
        </w:rPr>
        <w:t>2016</w:t>
      </w:r>
      <w:r w:rsidR="00E70920" w:rsidRPr="00652D04">
        <w:rPr>
          <w:lang w:val="fr-FR"/>
        </w:rPr>
        <w:noBreakHyphen/>
      </w:r>
      <w:r w:rsidR="0002588C" w:rsidRPr="00652D04">
        <w:rPr>
          <w:lang w:val="fr-FR"/>
        </w:rPr>
        <w:t>2017 (point 11 de l</w:t>
      </w:r>
      <w:r w:rsidR="00D67156" w:rsidRPr="00652D04">
        <w:rPr>
          <w:lang w:val="fr-FR"/>
        </w:rPr>
        <w:t>’</w:t>
      </w:r>
      <w:r w:rsidR="0002588C" w:rsidRPr="00652D04">
        <w:rPr>
          <w:lang w:val="fr-FR"/>
        </w:rPr>
        <w:t>ordre du jour).</w:t>
      </w:r>
    </w:p>
    <w:p w:rsidR="000006CC" w:rsidRPr="00652D04" w:rsidRDefault="0021535D" w:rsidP="00F96A79">
      <w:pPr>
        <w:pStyle w:val="Heading2"/>
        <w:rPr>
          <w:lang w:val="fr-FR"/>
        </w:rPr>
      </w:pPr>
      <w:r w:rsidRPr="00652D04">
        <w:rPr>
          <w:lang w:val="fr-FR"/>
        </w:rPr>
        <w:t>Point</w:t>
      </w:r>
      <w:r w:rsidR="00B03A49" w:rsidRPr="00652D04">
        <w:rPr>
          <w:lang w:val="fr-FR"/>
        </w:rPr>
        <w:t> </w:t>
      </w:r>
      <w:r w:rsidRPr="00652D04">
        <w:rPr>
          <w:lang w:val="fr-FR"/>
        </w:rPr>
        <w:t>4 de l</w:t>
      </w:r>
      <w:r w:rsidR="00D67156" w:rsidRPr="00652D04">
        <w:rPr>
          <w:lang w:val="fr-FR"/>
        </w:rPr>
        <w:t>’</w:t>
      </w:r>
      <w:r w:rsidRPr="00652D04">
        <w:rPr>
          <w:lang w:val="fr-FR"/>
        </w:rPr>
        <w:t>ordre du jour unifié</w:t>
      </w:r>
    </w:p>
    <w:p w:rsidR="000006CC" w:rsidRPr="00652D04" w:rsidRDefault="0021535D" w:rsidP="00F96A79">
      <w:pPr>
        <w:pStyle w:val="Heading2"/>
        <w:rPr>
          <w:lang w:val="fr-FR"/>
        </w:rPr>
      </w:pPr>
      <w:r w:rsidRPr="00652D04">
        <w:rPr>
          <w:lang w:val="fr-FR"/>
        </w:rPr>
        <w:t>Rapport du Directeur général</w:t>
      </w:r>
    </w:p>
    <w:p w:rsidR="000006CC" w:rsidRPr="00652D04" w:rsidRDefault="000006CC" w:rsidP="009817D3">
      <w:pPr>
        <w:tabs>
          <w:tab w:val="num" w:pos="1701"/>
        </w:tabs>
        <w:ind w:left="550" w:hanging="550"/>
        <w:rPr>
          <w:lang w:val="fr-FR"/>
        </w:rPr>
      </w:pPr>
    </w:p>
    <w:p w:rsidR="000006CC" w:rsidRPr="00652D04" w:rsidRDefault="00A43191" w:rsidP="00F96A79">
      <w:pPr>
        <w:pStyle w:val="ONUMFS"/>
        <w:numPr>
          <w:ilvl w:val="0"/>
          <w:numId w:val="0"/>
        </w:numPr>
        <w:rPr>
          <w:lang w:val="fr-FR"/>
        </w:rPr>
      </w:pPr>
      <w:r w:rsidRPr="00652D04">
        <w:rPr>
          <w:lang w:val="fr-FR"/>
        </w:rPr>
        <w:t>Aucune décision n</w:t>
      </w:r>
      <w:r w:rsidR="00D67156" w:rsidRPr="00652D04">
        <w:rPr>
          <w:lang w:val="fr-FR"/>
        </w:rPr>
        <w:t>’</w:t>
      </w:r>
      <w:r w:rsidRPr="00652D04">
        <w:rPr>
          <w:lang w:val="fr-FR"/>
        </w:rPr>
        <w:t>a été adoptée au titre de ce point de l</w:t>
      </w:r>
      <w:r w:rsidR="00D67156" w:rsidRPr="00652D04">
        <w:rPr>
          <w:lang w:val="fr-FR"/>
        </w:rPr>
        <w:t>’</w:t>
      </w:r>
      <w:r w:rsidRPr="00652D04">
        <w:rPr>
          <w:lang w:val="fr-FR"/>
        </w:rPr>
        <w:t>ordre du jour</w:t>
      </w:r>
      <w:r w:rsidR="0022669F" w:rsidRPr="00652D04">
        <w:rPr>
          <w:lang w:val="fr-FR"/>
        </w:rPr>
        <w:t>.</w:t>
      </w:r>
    </w:p>
    <w:p w:rsidR="000006CC" w:rsidRPr="00652D04" w:rsidRDefault="0021535D" w:rsidP="00F96A79">
      <w:pPr>
        <w:pStyle w:val="Heading2"/>
        <w:rPr>
          <w:lang w:val="fr-FR"/>
        </w:rPr>
      </w:pPr>
      <w:r w:rsidRPr="00652D04">
        <w:rPr>
          <w:lang w:val="fr-FR"/>
        </w:rPr>
        <w:t>Point</w:t>
      </w:r>
      <w:r w:rsidR="00B03A49" w:rsidRPr="00652D04">
        <w:rPr>
          <w:lang w:val="fr-FR"/>
        </w:rPr>
        <w:t> </w:t>
      </w:r>
      <w:r w:rsidRPr="00652D04">
        <w:rPr>
          <w:lang w:val="fr-FR"/>
        </w:rPr>
        <w:t>5 de l</w:t>
      </w:r>
      <w:r w:rsidR="00D67156" w:rsidRPr="00652D04">
        <w:rPr>
          <w:lang w:val="fr-FR"/>
        </w:rPr>
        <w:t>’</w:t>
      </w:r>
      <w:r w:rsidRPr="00652D04">
        <w:rPr>
          <w:lang w:val="fr-FR"/>
        </w:rPr>
        <w:t>ordre du jour unifié</w:t>
      </w:r>
    </w:p>
    <w:p w:rsidR="000006CC" w:rsidRPr="00652D04" w:rsidRDefault="0021535D" w:rsidP="00F96A79">
      <w:pPr>
        <w:pStyle w:val="Heading2"/>
        <w:rPr>
          <w:lang w:val="fr-FR"/>
        </w:rPr>
      </w:pPr>
      <w:r w:rsidRPr="00652D04">
        <w:rPr>
          <w:lang w:val="fr-FR"/>
        </w:rPr>
        <w:t>Déclarations générales</w:t>
      </w:r>
    </w:p>
    <w:p w:rsidR="000006CC" w:rsidRPr="00652D04" w:rsidRDefault="000006CC" w:rsidP="009817D3">
      <w:pPr>
        <w:tabs>
          <w:tab w:val="num" w:pos="1701"/>
        </w:tabs>
        <w:ind w:left="550" w:hanging="550"/>
        <w:rPr>
          <w:szCs w:val="22"/>
          <w:lang w:val="fr-FR"/>
        </w:rPr>
      </w:pPr>
    </w:p>
    <w:p w:rsidR="00A43191" w:rsidRPr="00652D04" w:rsidRDefault="00A43191" w:rsidP="00A43191">
      <w:pPr>
        <w:pStyle w:val="ONUMFS"/>
        <w:numPr>
          <w:ilvl w:val="0"/>
          <w:numId w:val="0"/>
        </w:numPr>
        <w:rPr>
          <w:lang w:val="fr-FR"/>
        </w:rPr>
      </w:pPr>
      <w:r w:rsidRPr="00652D04">
        <w:rPr>
          <w:lang w:val="fr-FR"/>
        </w:rPr>
        <w:t>Aucune décision n</w:t>
      </w:r>
      <w:r w:rsidR="00D67156" w:rsidRPr="00652D04">
        <w:rPr>
          <w:lang w:val="fr-FR"/>
        </w:rPr>
        <w:t>’</w:t>
      </w:r>
      <w:r w:rsidRPr="00652D04">
        <w:rPr>
          <w:lang w:val="fr-FR"/>
        </w:rPr>
        <w:t>a été adoptée au titre de ce point de l</w:t>
      </w:r>
      <w:r w:rsidR="00D67156" w:rsidRPr="00652D04">
        <w:rPr>
          <w:lang w:val="fr-FR"/>
        </w:rPr>
        <w:t>’</w:t>
      </w:r>
      <w:r w:rsidRPr="00652D04">
        <w:rPr>
          <w:lang w:val="fr-FR"/>
        </w:rPr>
        <w:t>ordre du jour.</w:t>
      </w:r>
    </w:p>
    <w:p w:rsidR="000006CC" w:rsidRPr="00652D04" w:rsidRDefault="0021535D" w:rsidP="00F96A79">
      <w:pPr>
        <w:pStyle w:val="Heading2"/>
        <w:rPr>
          <w:lang w:val="fr-FR"/>
        </w:rPr>
      </w:pPr>
      <w:r w:rsidRPr="00652D04">
        <w:rPr>
          <w:lang w:val="fr-FR"/>
        </w:rPr>
        <w:t>Point</w:t>
      </w:r>
      <w:r w:rsidR="00B03A49" w:rsidRPr="00652D04">
        <w:rPr>
          <w:lang w:val="fr-FR"/>
        </w:rPr>
        <w:t> </w:t>
      </w:r>
      <w:r w:rsidRPr="00652D04">
        <w:rPr>
          <w:lang w:val="fr-FR"/>
        </w:rPr>
        <w:t>6 de l</w:t>
      </w:r>
      <w:r w:rsidR="00D67156" w:rsidRPr="00652D04">
        <w:rPr>
          <w:lang w:val="fr-FR"/>
        </w:rPr>
        <w:t>’</w:t>
      </w:r>
      <w:r w:rsidRPr="00652D04">
        <w:rPr>
          <w:lang w:val="fr-FR"/>
        </w:rPr>
        <w:t>ordre du jour unifié</w:t>
      </w:r>
    </w:p>
    <w:p w:rsidR="000006CC" w:rsidRPr="00652D04" w:rsidRDefault="0021535D" w:rsidP="00F96A79">
      <w:pPr>
        <w:pStyle w:val="Heading2"/>
        <w:rPr>
          <w:lang w:val="fr-FR"/>
        </w:rPr>
      </w:pPr>
      <w:r w:rsidRPr="00652D04">
        <w:rPr>
          <w:lang w:val="fr-FR"/>
        </w:rPr>
        <w:t>Admission d</w:t>
      </w:r>
      <w:r w:rsidR="00D67156" w:rsidRPr="00652D04">
        <w:rPr>
          <w:lang w:val="fr-FR"/>
        </w:rPr>
        <w:t>’</w:t>
      </w:r>
      <w:r w:rsidRPr="00652D04">
        <w:rPr>
          <w:lang w:val="fr-FR"/>
        </w:rPr>
        <w:t>observateurs</w:t>
      </w:r>
    </w:p>
    <w:p w:rsidR="000006CC" w:rsidRPr="00652D04" w:rsidRDefault="000006CC" w:rsidP="004E2F5B">
      <w:pPr>
        <w:pStyle w:val="Endofdocument-Annex"/>
        <w:keepNext/>
        <w:keepLines/>
        <w:ind w:left="0"/>
        <w:rPr>
          <w:lang w:val="fr-FR"/>
        </w:rPr>
      </w:pPr>
    </w:p>
    <w:p w:rsidR="000006CC" w:rsidRPr="00652D04" w:rsidRDefault="0002588C" w:rsidP="00F96A79">
      <w:pPr>
        <w:pStyle w:val="ONUMFS"/>
        <w:numPr>
          <w:ilvl w:val="0"/>
          <w:numId w:val="0"/>
        </w:numPr>
        <w:rPr>
          <w:lang w:val="fr-FR"/>
        </w:rPr>
      </w:pPr>
      <w:r w:rsidRPr="00652D04">
        <w:rPr>
          <w:lang w:val="fr-FR"/>
        </w:rPr>
        <w:t>Les assemblées des États membres de l</w:t>
      </w:r>
      <w:r w:rsidR="00D67156" w:rsidRPr="00652D04">
        <w:rPr>
          <w:lang w:val="fr-FR"/>
        </w:rPr>
        <w:t>’</w:t>
      </w:r>
      <w:r w:rsidRPr="00652D04">
        <w:rPr>
          <w:lang w:val="fr-FR"/>
        </w:rPr>
        <w:t>OMPI ont décidé d</w:t>
      </w:r>
      <w:r w:rsidR="00D67156" w:rsidRPr="00652D04">
        <w:rPr>
          <w:lang w:val="fr-FR"/>
        </w:rPr>
        <w:t>’</w:t>
      </w:r>
      <w:r w:rsidRPr="00652D04">
        <w:rPr>
          <w:lang w:val="fr-FR"/>
        </w:rPr>
        <w:t>accorder le statut d</w:t>
      </w:r>
      <w:r w:rsidR="00D67156" w:rsidRPr="00652D04">
        <w:rPr>
          <w:lang w:val="fr-FR"/>
        </w:rPr>
        <w:t>’</w:t>
      </w:r>
      <w:r w:rsidRPr="00652D04">
        <w:rPr>
          <w:lang w:val="fr-FR"/>
        </w:rPr>
        <w:t xml:space="preserve">observateur aux organisations </w:t>
      </w:r>
      <w:r w:rsidR="00A43191" w:rsidRPr="00652D04">
        <w:rPr>
          <w:lang w:val="fr-FR"/>
        </w:rPr>
        <w:t>ci</w:t>
      </w:r>
      <w:r w:rsidR="00E70920" w:rsidRPr="00652D04">
        <w:rPr>
          <w:lang w:val="fr-FR"/>
        </w:rPr>
        <w:noBreakHyphen/>
      </w:r>
      <w:r w:rsidR="00A43191" w:rsidRPr="00652D04">
        <w:rPr>
          <w:lang w:val="fr-FR"/>
        </w:rPr>
        <w:t>après</w:t>
      </w:r>
      <w:r w:rsidRPr="00652D04">
        <w:rPr>
          <w:lang w:val="fr-FR"/>
        </w:rPr>
        <w:t xml:space="preserve"> (document A/55/2) :</w:t>
      </w:r>
    </w:p>
    <w:p w:rsidR="000006CC" w:rsidRPr="00652D04" w:rsidRDefault="0002588C" w:rsidP="00F96A79">
      <w:pPr>
        <w:pStyle w:val="ListParagraph"/>
        <w:numPr>
          <w:ilvl w:val="0"/>
          <w:numId w:val="9"/>
        </w:numPr>
        <w:ind w:left="567" w:hanging="567"/>
        <w:rPr>
          <w:szCs w:val="22"/>
          <w:lang w:val="fr-FR"/>
        </w:rPr>
      </w:pPr>
      <w:r w:rsidRPr="00652D04">
        <w:rPr>
          <w:szCs w:val="22"/>
          <w:lang w:val="fr-FR"/>
        </w:rPr>
        <w:t>organisation intergouvernementale</w:t>
      </w:r>
      <w:r w:rsidR="00B03A49" w:rsidRPr="00652D04">
        <w:rPr>
          <w:szCs w:val="22"/>
          <w:lang w:val="fr-FR"/>
        </w:rPr>
        <w:t> </w:t>
      </w:r>
      <w:r w:rsidR="00C9295C" w:rsidRPr="00652D04">
        <w:rPr>
          <w:szCs w:val="22"/>
          <w:lang w:val="fr-FR"/>
        </w:rPr>
        <w:t xml:space="preserve">: </w:t>
      </w:r>
      <w:r w:rsidRPr="00652D04">
        <w:rPr>
          <w:lang w:val="fr-FR"/>
        </w:rPr>
        <w:t>Organisation européenne de droit public (EPLO);</w:t>
      </w:r>
    </w:p>
    <w:p w:rsidR="000006CC" w:rsidRPr="00652D04" w:rsidRDefault="0002588C" w:rsidP="00F96A79">
      <w:pPr>
        <w:pStyle w:val="ListParagraph"/>
        <w:numPr>
          <w:ilvl w:val="0"/>
          <w:numId w:val="9"/>
        </w:numPr>
        <w:ind w:left="567" w:hanging="567"/>
        <w:rPr>
          <w:szCs w:val="22"/>
          <w:lang w:val="fr-FR"/>
        </w:rPr>
      </w:pPr>
      <w:r w:rsidRPr="00652D04">
        <w:rPr>
          <w:lang w:val="fr-FR"/>
        </w:rPr>
        <w:t>organisations non gouvernementales internationales </w:t>
      </w:r>
      <w:r w:rsidR="00C9295C" w:rsidRPr="00652D04">
        <w:rPr>
          <w:szCs w:val="22"/>
          <w:lang w:val="fr-FR"/>
        </w:rPr>
        <w:t xml:space="preserve">: </w:t>
      </w:r>
      <w:r w:rsidRPr="00652D04">
        <w:rPr>
          <w:lang w:val="fr-FR"/>
        </w:rPr>
        <w:t xml:space="preserve">Archives and Records Association (ARA), </w:t>
      </w:r>
      <w:proofErr w:type="spellStart"/>
      <w:r w:rsidRPr="00652D04">
        <w:rPr>
          <w:lang w:val="fr-FR"/>
        </w:rPr>
        <w:t>Confederacy</w:t>
      </w:r>
      <w:proofErr w:type="spellEnd"/>
      <w:r w:rsidRPr="00652D04">
        <w:rPr>
          <w:lang w:val="fr-FR"/>
        </w:rPr>
        <w:t xml:space="preserve"> of Patent Information User Groups (CEPIUG), </w:t>
      </w:r>
      <w:proofErr w:type="spellStart"/>
      <w:r w:rsidRPr="00652D04">
        <w:rPr>
          <w:lang w:val="fr-FR"/>
        </w:rPr>
        <w:t>European</w:t>
      </w:r>
      <w:proofErr w:type="spellEnd"/>
      <w:r w:rsidRPr="00652D04">
        <w:rPr>
          <w:lang w:val="fr-FR"/>
        </w:rPr>
        <w:t xml:space="preserve"> Association for </w:t>
      </w:r>
      <w:proofErr w:type="spellStart"/>
      <w:r w:rsidRPr="00652D04">
        <w:rPr>
          <w:lang w:val="fr-FR"/>
        </w:rPr>
        <w:t>Bioindustries</w:t>
      </w:r>
      <w:proofErr w:type="spellEnd"/>
      <w:r w:rsidRPr="00652D04">
        <w:rPr>
          <w:lang w:val="fr-FR"/>
        </w:rPr>
        <w:t xml:space="preserve"> (EUROPABIO), International </w:t>
      </w:r>
      <w:proofErr w:type="spellStart"/>
      <w:r w:rsidRPr="00652D04">
        <w:rPr>
          <w:lang w:val="fr-FR"/>
        </w:rPr>
        <w:t>Intellectual</w:t>
      </w:r>
      <w:proofErr w:type="spellEnd"/>
      <w:r w:rsidRPr="00652D04">
        <w:rPr>
          <w:lang w:val="fr-FR"/>
        </w:rPr>
        <w:t xml:space="preserve"> </w:t>
      </w:r>
      <w:proofErr w:type="spellStart"/>
      <w:r w:rsidRPr="00652D04">
        <w:rPr>
          <w:lang w:val="fr-FR"/>
        </w:rPr>
        <w:t>Property</w:t>
      </w:r>
      <w:proofErr w:type="spellEnd"/>
      <w:r w:rsidRPr="00652D04">
        <w:rPr>
          <w:lang w:val="fr-FR"/>
        </w:rPr>
        <w:t xml:space="preserve"> </w:t>
      </w:r>
      <w:proofErr w:type="spellStart"/>
      <w:r w:rsidRPr="00652D04">
        <w:rPr>
          <w:lang w:val="fr-FR"/>
        </w:rPr>
        <w:t>Commercialization</w:t>
      </w:r>
      <w:proofErr w:type="spellEnd"/>
      <w:r w:rsidRPr="00652D04">
        <w:rPr>
          <w:lang w:val="fr-FR"/>
        </w:rPr>
        <w:t xml:space="preserve"> Council Limited (IIPCC) et MALOCA </w:t>
      </w:r>
      <w:r w:rsidRPr="00652D04">
        <w:rPr>
          <w:i/>
          <w:lang w:val="fr-FR"/>
        </w:rPr>
        <w:t>Internationale</w:t>
      </w:r>
      <w:r w:rsidRPr="00652D04">
        <w:rPr>
          <w:lang w:val="fr-FR"/>
        </w:rPr>
        <w:t>;</w:t>
      </w:r>
    </w:p>
    <w:p w:rsidR="000006CC" w:rsidRPr="00652D04" w:rsidRDefault="0002588C" w:rsidP="00F96A79">
      <w:pPr>
        <w:pStyle w:val="ListParagraph"/>
        <w:numPr>
          <w:ilvl w:val="0"/>
          <w:numId w:val="9"/>
        </w:numPr>
        <w:ind w:left="567" w:hanging="567"/>
        <w:rPr>
          <w:lang w:val="fr-FR"/>
        </w:rPr>
      </w:pPr>
      <w:r w:rsidRPr="00652D04">
        <w:rPr>
          <w:lang w:val="fr-FR"/>
        </w:rPr>
        <w:t>organisations non gouvernementales nationales </w:t>
      </w:r>
      <w:r w:rsidR="00C9295C" w:rsidRPr="00652D04">
        <w:rPr>
          <w:szCs w:val="22"/>
          <w:lang w:val="fr-FR"/>
        </w:rPr>
        <w:t xml:space="preserve">: </w:t>
      </w:r>
      <w:proofErr w:type="spellStart"/>
      <w:r w:rsidR="0015773A" w:rsidRPr="00652D04">
        <w:rPr>
          <w:lang w:val="fr-FR"/>
        </w:rPr>
        <w:t>Asociación</w:t>
      </w:r>
      <w:proofErr w:type="spellEnd"/>
      <w:r w:rsidR="0015773A" w:rsidRPr="00652D04">
        <w:rPr>
          <w:lang w:val="fr-FR"/>
        </w:rPr>
        <w:t xml:space="preserve"> de Agentes </w:t>
      </w:r>
      <w:proofErr w:type="spellStart"/>
      <w:r w:rsidR="0015773A" w:rsidRPr="00652D04">
        <w:rPr>
          <w:lang w:val="fr-FR"/>
        </w:rPr>
        <w:t>Españoles</w:t>
      </w:r>
      <w:proofErr w:type="spellEnd"/>
      <w:r w:rsidR="0015773A" w:rsidRPr="00652D04">
        <w:rPr>
          <w:lang w:val="fr-FR"/>
        </w:rPr>
        <w:t xml:space="preserve"> </w:t>
      </w:r>
      <w:proofErr w:type="spellStart"/>
      <w:r w:rsidR="0015773A" w:rsidRPr="00652D04">
        <w:rPr>
          <w:lang w:val="fr-FR"/>
        </w:rPr>
        <w:t>autorizados</w:t>
      </w:r>
      <w:proofErr w:type="spellEnd"/>
      <w:r w:rsidR="0015773A" w:rsidRPr="00652D04">
        <w:rPr>
          <w:lang w:val="fr-FR"/>
        </w:rPr>
        <w:t xml:space="preserve"> ante </w:t>
      </w:r>
      <w:proofErr w:type="spellStart"/>
      <w:r w:rsidR="0015773A" w:rsidRPr="00652D04">
        <w:rPr>
          <w:lang w:val="fr-FR"/>
        </w:rPr>
        <w:t>Organizaciones</w:t>
      </w:r>
      <w:proofErr w:type="spellEnd"/>
      <w:r w:rsidR="0015773A" w:rsidRPr="00652D04">
        <w:rPr>
          <w:lang w:val="fr-FR"/>
        </w:rPr>
        <w:t xml:space="preserve"> de </w:t>
      </w:r>
      <w:proofErr w:type="spellStart"/>
      <w:r w:rsidR="0015773A" w:rsidRPr="00652D04">
        <w:rPr>
          <w:lang w:val="fr-FR"/>
        </w:rPr>
        <w:t>Propiedad</w:t>
      </w:r>
      <w:proofErr w:type="spellEnd"/>
      <w:r w:rsidR="0015773A" w:rsidRPr="00652D04">
        <w:rPr>
          <w:lang w:val="fr-FR"/>
        </w:rPr>
        <w:t xml:space="preserve"> </w:t>
      </w:r>
      <w:proofErr w:type="spellStart"/>
      <w:r w:rsidR="0015773A" w:rsidRPr="00652D04">
        <w:rPr>
          <w:lang w:val="fr-FR"/>
        </w:rPr>
        <w:t>Industrial</w:t>
      </w:r>
      <w:proofErr w:type="spellEnd"/>
      <w:r w:rsidR="0015773A" w:rsidRPr="00652D04">
        <w:rPr>
          <w:lang w:val="fr-FR"/>
        </w:rPr>
        <w:t xml:space="preserve"> e </w:t>
      </w:r>
      <w:proofErr w:type="spellStart"/>
      <w:r w:rsidR="0015773A" w:rsidRPr="00652D04">
        <w:rPr>
          <w:lang w:val="fr-FR"/>
        </w:rPr>
        <w:t>Intelectual</w:t>
      </w:r>
      <w:proofErr w:type="spellEnd"/>
      <w:r w:rsidR="0015773A" w:rsidRPr="00652D04">
        <w:rPr>
          <w:lang w:val="fr-FR"/>
        </w:rPr>
        <w:t xml:space="preserve"> (AGESORPI, Association des mandataires espagnols auprès des organisations internationales de propriété industrielle et intellectuelle)</w:t>
      </w:r>
      <w:r w:rsidRPr="00652D04">
        <w:rPr>
          <w:lang w:val="fr-FR"/>
        </w:rPr>
        <w:t xml:space="preserve">, The </w:t>
      </w:r>
      <w:proofErr w:type="spellStart"/>
      <w:r w:rsidRPr="00652D04">
        <w:rPr>
          <w:lang w:val="fr-FR"/>
        </w:rPr>
        <w:t>Finnish</w:t>
      </w:r>
      <w:proofErr w:type="spellEnd"/>
      <w:r w:rsidRPr="00652D04">
        <w:rPr>
          <w:lang w:val="fr-FR"/>
        </w:rPr>
        <w:t xml:space="preserve"> Copyright Society et The N</w:t>
      </w:r>
      <w:r w:rsidR="0015773A" w:rsidRPr="00652D04">
        <w:rPr>
          <w:lang w:val="fr-FR"/>
        </w:rPr>
        <w:t>EST</w:t>
      </w:r>
      <w:r w:rsidRPr="00652D04">
        <w:rPr>
          <w:lang w:val="fr-FR"/>
        </w:rPr>
        <w:t xml:space="preserve"> </w:t>
      </w:r>
      <w:proofErr w:type="spellStart"/>
      <w:r w:rsidRPr="00652D04">
        <w:rPr>
          <w:lang w:val="fr-FR"/>
        </w:rPr>
        <w:t>Foundation</w:t>
      </w:r>
      <w:proofErr w:type="spellEnd"/>
      <w:r w:rsidR="0015773A" w:rsidRPr="00652D04">
        <w:rPr>
          <w:lang w:val="fr-FR"/>
        </w:rPr>
        <w:t>;</w:t>
      </w:r>
    </w:p>
    <w:p w:rsidR="000006CC" w:rsidRPr="00652D04" w:rsidRDefault="0002588C" w:rsidP="00F96A79">
      <w:pPr>
        <w:pStyle w:val="ListParagraph"/>
        <w:numPr>
          <w:ilvl w:val="0"/>
          <w:numId w:val="9"/>
        </w:numPr>
        <w:ind w:left="567" w:hanging="567"/>
        <w:rPr>
          <w:lang w:val="fr-FR"/>
        </w:rPr>
      </w:pPr>
      <w:r w:rsidRPr="00652D04">
        <w:rPr>
          <w:szCs w:val="22"/>
          <w:lang w:val="fr-FR"/>
        </w:rPr>
        <w:t>organisation intergouvernementale régionale</w:t>
      </w:r>
      <w:r w:rsidR="00B03A49" w:rsidRPr="00652D04">
        <w:rPr>
          <w:szCs w:val="22"/>
          <w:lang w:val="fr-FR"/>
        </w:rPr>
        <w:t> </w:t>
      </w:r>
      <w:r w:rsidRPr="00652D04">
        <w:rPr>
          <w:szCs w:val="22"/>
          <w:lang w:val="fr-FR"/>
        </w:rPr>
        <w:t xml:space="preserve">: </w:t>
      </w:r>
      <w:r w:rsidRPr="00652D04">
        <w:rPr>
          <w:lang w:val="fr-FR"/>
        </w:rPr>
        <w:t>Organisation européenne de droit public (EPLO).</w:t>
      </w:r>
    </w:p>
    <w:p w:rsidR="000006CC" w:rsidRPr="00652D04" w:rsidRDefault="000006CC" w:rsidP="004E2F5B">
      <w:pPr>
        <w:tabs>
          <w:tab w:val="num" w:pos="-57"/>
        </w:tabs>
        <w:contextualSpacing/>
        <w:rPr>
          <w:lang w:val="fr-FR"/>
        </w:rPr>
      </w:pPr>
    </w:p>
    <w:p w:rsidR="000006CC" w:rsidRPr="00652D04" w:rsidRDefault="00A60E7A" w:rsidP="00F96A79">
      <w:pPr>
        <w:pStyle w:val="Heading2"/>
        <w:rPr>
          <w:lang w:val="fr-FR"/>
        </w:rPr>
      </w:pPr>
      <w:r w:rsidRPr="00652D04">
        <w:rPr>
          <w:lang w:val="fr-FR"/>
        </w:rPr>
        <w:t>Point</w:t>
      </w:r>
      <w:r w:rsidR="00B03A49" w:rsidRPr="00652D04">
        <w:rPr>
          <w:lang w:val="fr-FR"/>
        </w:rPr>
        <w:t> </w:t>
      </w:r>
      <w:r w:rsidRPr="00652D04">
        <w:rPr>
          <w:lang w:val="fr-FR"/>
        </w:rPr>
        <w:t>7 de l</w:t>
      </w:r>
      <w:r w:rsidR="00D67156" w:rsidRPr="00652D04">
        <w:rPr>
          <w:lang w:val="fr-FR"/>
        </w:rPr>
        <w:t>’</w:t>
      </w:r>
      <w:r w:rsidRPr="00652D04">
        <w:rPr>
          <w:lang w:val="fr-FR"/>
        </w:rPr>
        <w:t>ordre du jour unifié</w:t>
      </w:r>
    </w:p>
    <w:p w:rsidR="000006CC" w:rsidRPr="00652D04" w:rsidRDefault="00A60E7A" w:rsidP="00F96A79">
      <w:pPr>
        <w:pStyle w:val="Heading2"/>
        <w:rPr>
          <w:lang w:val="fr-FR"/>
        </w:rPr>
      </w:pPr>
      <w:r w:rsidRPr="00652D04">
        <w:rPr>
          <w:lang w:val="fr-FR"/>
        </w:rPr>
        <w:t>Composition du Comité du programme et budget</w:t>
      </w:r>
    </w:p>
    <w:p w:rsidR="000006CC" w:rsidRPr="00652D04" w:rsidRDefault="000006CC" w:rsidP="004E2F5B">
      <w:pPr>
        <w:tabs>
          <w:tab w:val="num" w:pos="-57"/>
        </w:tabs>
        <w:contextualSpacing/>
        <w:rPr>
          <w:lang w:val="fr-FR"/>
        </w:rPr>
      </w:pPr>
    </w:p>
    <w:p w:rsidR="000006CC" w:rsidRPr="00652D04" w:rsidRDefault="00A60E7A" w:rsidP="00F96A79">
      <w:pPr>
        <w:pStyle w:val="ONUMFS"/>
        <w:numPr>
          <w:ilvl w:val="0"/>
          <w:numId w:val="0"/>
        </w:numPr>
        <w:rPr>
          <w:lang w:val="fr-FR"/>
        </w:rPr>
      </w:pPr>
      <w:r w:rsidRPr="00652D04">
        <w:rPr>
          <w:lang w:val="fr-FR"/>
        </w:rPr>
        <w:t>Les États ci</w:t>
      </w:r>
      <w:r w:rsidR="00E70920" w:rsidRPr="00652D04">
        <w:rPr>
          <w:lang w:val="fr-FR"/>
        </w:rPr>
        <w:noBreakHyphen/>
      </w:r>
      <w:r w:rsidRPr="00652D04">
        <w:rPr>
          <w:lang w:val="fr-FR"/>
        </w:rPr>
        <w:t>après ont été élus à l</w:t>
      </w:r>
      <w:r w:rsidR="00D67156" w:rsidRPr="00652D04">
        <w:rPr>
          <w:lang w:val="fr-FR"/>
        </w:rPr>
        <w:t>’</w:t>
      </w:r>
      <w:r w:rsidRPr="00652D04">
        <w:rPr>
          <w:lang w:val="fr-FR"/>
        </w:rPr>
        <w:t>unanimité par l</w:t>
      </w:r>
      <w:r w:rsidR="00D67156" w:rsidRPr="00652D04">
        <w:rPr>
          <w:lang w:val="fr-FR"/>
        </w:rPr>
        <w:t>’</w:t>
      </w:r>
      <w:r w:rsidRPr="00652D04">
        <w:rPr>
          <w:lang w:val="fr-FR"/>
        </w:rPr>
        <w:t>Assemblée générale en qualité de membres du Comité du programme et budget pour la période allant d</w:t>
      </w:r>
      <w:r w:rsidR="00D67156" w:rsidRPr="00652D04">
        <w:rPr>
          <w:lang w:val="fr-FR"/>
        </w:rPr>
        <w:t>’octobre 20</w:t>
      </w:r>
      <w:r w:rsidRPr="00652D04">
        <w:rPr>
          <w:lang w:val="fr-FR"/>
        </w:rPr>
        <w:t xml:space="preserve">15 à </w:t>
      </w:r>
      <w:r w:rsidR="00D67156" w:rsidRPr="00652D04">
        <w:rPr>
          <w:lang w:val="fr-FR"/>
        </w:rPr>
        <w:t>octobre 20</w:t>
      </w:r>
      <w:r w:rsidRPr="00652D04">
        <w:rPr>
          <w:lang w:val="fr-FR"/>
        </w:rPr>
        <w:t>17</w:t>
      </w:r>
      <w:r w:rsidR="00B03A49" w:rsidRPr="00652D04">
        <w:rPr>
          <w:lang w:val="fr-FR"/>
        </w:rPr>
        <w:t> </w:t>
      </w:r>
      <w:r w:rsidRPr="00652D04">
        <w:rPr>
          <w:lang w:val="fr-FR"/>
        </w:rPr>
        <w:t>: Afrique du Sud, Allemagne, Argentine, Arménie, Azerbaïdjan, Bangladesh, Bélarus, Brésil, Cameroun, Canada, Chili, Chine, Colombie (2015</w:t>
      </w:r>
      <w:r w:rsidR="00E70920" w:rsidRPr="00652D04">
        <w:rPr>
          <w:lang w:val="fr-FR"/>
        </w:rPr>
        <w:noBreakHyphen/>
      </w:r>
      <w:r w:rsidR="00816E56" w:rsidRPr="00652D04">
        <w:rPr>
          <w:lang w:val="fr-FR"/>
        </w:rPr>
        <w:t>2016), Congo, Égypte, El </w:t>
      </w:r>
      <w:r w:rsidRPr="00652D04">
        <w:rPr>
          <w:lang w:val="fr-FR"/>
        </w:rPr>
        <w:t>Salvador, Équateur, Espagne, Estonie (2016</w:t>
      </w:r>
      <w:r w:rsidR="00E70920" w:rsidRPr="00652D04">
        <w:rPr>
          <w:lang w:val="fr-FR"/>
        </w:rPr>
        <w:noBreakHyphen/>
      </w:r>
      <w:r w:rsidRPr="00652D04">
        <w:rPr>
          <w:lang w:val="fr-FR"/>
        </w:rPr>
        <w:t>2017), États</w:t>
      </w:r>
      <w:r w:rsidR="00E70920" w:rsidRPr="00652D04">
        <w:rPr>
          <w:lang w:val="fr-FR"/>
        </w:rPr>
        <w:noBreakHyphen/>
      </w:r>
      <w:r w:rsidRPr="00652D04">
        <w:rPr>
          <w:lang w:val="fr-FR"/>
        </w:rPr>
        <w:t>Unis d</w:t>
      </w:r>
      <w:r w:rsidR="00D67156" w:rsidRPr="00652D04">
        <w:rPr>
          <w:lang w:val="fr-FR"/>
        </w:rPr>
        <w:t>’</w:t>
      </w:r>
      <w:r w:rsidRPr="00652D04">
        <w:rPr>
          <w:lang w:val="fr-FR"/>
        </w:rPr>
        <w:t xml:space="preserve">Amérique, Éthiopie, Fédération de </w:t>
      </w:r>
      <w:r w:rsidRPr="00652D04">
        <w:rPr>
          <w:lang w:val="fr-FR"/>
        </w:rPr>
        <w:lastRenderedPageBreak/>
        <w:t>Russie, France, Grèce, Guatemala, Hongrie, Inde, Iran (République islamique d</w:t>
      </w:r>
      <w:r w:rsidR="00D67156" w:rsidRPr="00652D04">
        <w:rPr>
          <w:lang w:val="fr-FR"/>
        </w:rPr>
        <w:t>’</w:t>
      </w:r>
      <w:r w:rsidRPr="00652D04">
        <w:rPr>
          <w:lang w:val="fr-FR"/>
        </w:rPr>
        <w:t>), Italie, Japon, Lettonie (2015</w:t>
      </w:r>
      <w:r w:rsidR="00E70920" w:rsidRPr="00652D04">
        <w:rPr>
          <w:lang w:val="fr-FR"/>
        </w:rPr>
        <w:noBreakHyphen/>
      </w:r>
      <w:r w:rsidRPr="00652D04">
        <w:rPr>
          <w:lang w:val="fr-FR"/>
        </w:rPr>
        <w:t>2016), Malaisie, Maroc, Mexique, Nigéria, Ouganda, Pakistan, Panama, Pologne, République de Corée, République tchèque, Roumanie, Royaume</w:t>
      </w:r>
      <w:r w:rsidR="00E70920" w:rsidRPr="00652D04">
        <w:rPr>
          <w:lang w:val="fr-FR"/>
        </w:rPr>
        <w:noBreakHyphen/>
      </w:r>
      <w:r w:rsidRPr="00652D04">
        <w:rPr>
          <w:lang w:val="fr-FR"/>
        </w:rPr>
        <w:t>Uni, Sénégal, Singapour, Slovaquie, Slovénie, Sri</w:t>
      </w:r>
      <w:r w:rsidR="00B03A49" w:rsidRPr="00652D04">
        <w:rPr>
          <w:lang w:val="fr-FR"/>
        </w:rPr>
        <w:t> </w:t>
      </w:r>
      <w:r w:rsidRPr="00652D04">
        <w:rPr>
          <w:lang w:val="fr-FR"/>
        </w:rPr>
        <w:t>Lanka, Suède, Suisse (</w:t>
      </w:r>
      <w:r w:rsidRPr="00652D04">
        <w:rPr>
          <w:i/>
          <w:lang w:val="fr-FR"/>
        </w:rPr>
        <w:t>ex</w:t>
      </w:r>
      <w:r w:rsidR="00B03A49" w:rsidRPr="00652D04">
        <w:rPr>
          <w:i/>
          <w:lang w:val="fr-FR"/>
        </w:rPr>
        <w:t> </w:t>
      </w:r>
      <w:proofErr w:type="spellStart"/>
      <w:r w:rsidRPr="00652D04">
        <w:rPr>
          <w:i/>
          <w:lang w:val="fr-FR"/>
        </w:rPr>
        <w:t>officio</w:t>
      </w:r>
      <w:proofErr w:type="spellEnd"/>
      <w:r w:rsidRPr="00652D04">
        <w:rPr>
          <w:lang w:val="fr-FR"/>
        </w:rPr>
        <w:t>), Tadjikistan, Trinité</w:t>
      </w:r>
      <w:r w:rsidR="00E70920" w:rsidRPr="00652D04">
        <w:rPr>
          <w:lang w:val="fr-FR"/>
        </w:rPr>
        <w:noBreakHyphen/>
      </w:r>
      <w:r w:rsidRPr="00652D04">
        <w:rPr>
          <w:lang w:val="fr-FR"/>
        </w:rPr>
        <w:t>et</w:t>
      </w:r>
      <w:r w:rsidR="00E70920" w:rsidRPr="00652D04">
        <w:rPr>
          <w:lang w:val="fr-FR"/>
        </w:rPr>
        <w:noBreakHyphen/>
      </w:r>
      <w:r w:rsidRPr="00652D04">
        <w:rPr>
          <w:lang w:val="fr-FR"/>
        </w:rPr>
        <w:t>Tobago (2016</w:t>
      </w:r>
      <w:r w:rsidR="00E70920" w:rsidRPr="00652D04">
        <w:rPr>
          <w:lang w:val="fr-FR"/>
        </w:rPr>
        <w:noBreakHyphen/>
      </w:r>
      <w:r w:rsidRPr="00652D04">
        <w:rPr>
          <w:lang w:val="fr-FR"/>
        </w:rPr>
        <w:t>2017), Turquie, Viet</w:t>
      </w:r>
      <w:r w:rsidR="00B03A49" w:rsidRPr="00652D04">
        <w:rPr>
          <w:lang w:val="fr-FR"/>
        </w:rPr>
        <w:t> </w:t>
      </w:r>
      <w:r w:rsidRPr="00652D04">
        <w:rPr>
          <w:lang w:val="fr-FR"/>
        </w:rPr>
        <w:t>Nam, Zimbabwe (53).</w:t>
      </w:r>
    </w:p>
    <w:p w:rsidR="000006CC" w:rsidRPr="00652D04" w:rsidRDefault="00A60E7A" w:rsidP="00F96A79">
      <w:pPr>
        <w:pStyle w:val="Heading2"/>
        <w:rPr>
          <w:lang w:val="fr-FR"/>
        </w:rPr>
      </w:pPr>
      <w:r w:rsidRPr="00652D04">
        <w:rPr>
          <w:lang w:val="fr-FR"/>
        </w:rPr>
        <w:t>Point</w:t>
      </w:r>
      <w:r w:rsidR="00B03A49" w:rsidRPr="00652D04">
        <w:rPr>
          <w:lang w:val="fr-FR"/>
        </w:rPr>
        <w:t> </w:t>
      </w:r>
      <w:r w:rsidRPr="00652D04">
        <w:rPr>
          <w:lang w:val="fr-FR"/>
        </w:rPr>
        <w:t>8 de l</w:t>
      </w:r>
      <w:r w:rsidR="00D67156" w:rsidRPr="00652D04">
        <w:rPr>
          <w:lang w:val="fr-FR"/>
        </w:rPr>
        <w:t>’</w:t>
      </w:r>
      <w:r w:rsidRPr="00652D04">
        <w:rPr>
          <w:lang w:val="fr-FR"/>
        </w:rPr>
        <w:t>ordre du jour unifié</w:t>
      </w:r>
    </w:p>
    <w:p w:rsidR="000006CC" w:rsidRPr="00652D04" w:rsidRDefault="00A60E7A" w:rsidP="00F96A79">
      <w:pPr>
        <w:pStyle w:val="Heading2"/>
        <w:rPr>
          <w:lang w:val="fr-FR"/>
        </w:rPr>
      </w:pPr>
      <w:r w:rsidRPr="00652D04">
        <w:rPr>
          <w:lang w:val="fr-FR"/>
        </w:rPr>
        <w:t>Composition du Comité de coordination de l</w:t>
      </w:r>
      <w:r w:rsidR="00D67156" w:rsidRPr="00652D04">
        <w:rPr>
          <w:lang w:val="fr-FR"/>
        </w:rPr>
        <w:t>’</w:t>
      </w:r>
      <w:r w:rsidRPr="00652D04">
        <w:rPr>
          <w:lang w:val="fr-FR"/>
        </w:rPr>
        <w:t>OMPI et des comités exécutifs des unions de Paris et de Berne</w:t>
      </w:r>
    </w:p>
    <w:p w:rsidR="000006CC" w:rsidRPr="00652D04" w:rsidRDefault="000006CC" w:rsidP="004E2F5B">
      <w:pPr>
        <w:pStyle w:val="Endofdocument-Annex"/>
        <w:keepNext/>
        <w:keepLines/>
        <w:ind w:left="0"/>
        <w:rPr>
          <w:lang w:val="fr-FR"/>
        </w:rPr>
      </w:pPr>
    </w:p>
    <w:p w:rsidR="000006CC" w:rsidRPr="00652D04" w:rsidRDefault="0002588C" w:rsidP="00F96A79">
      <w:pPr>
        <w:pStyle w:val="ONUMFS"/>
        <w:numPr>
          <w:ilvl w:val="0"/>
          <w:numId w:val="0"/>
        </w:numPr>
        <w:rPr>
          <w:szCs w:val="22"/>
          <w:lang w:val="fr-FR"/>
        </w:rPr>
      </w:pPr>
      <w:r w:rsidRPr="00652D04">
        <w:rPr>
          <w:lang w:val="fr-FR"/>
        </w:rPr>
        <w:t>L</w:t>
      </w:r>
      <w:r w:rsidR="00D67156" w:rsidRPr="00652D04">
        <w:rPr>
          <w:lang w:val="fr-FR"/>
        </w:rPr>
        <w:t>’</w:t>
      </w:r>
      <w:r w:rsidR="00A60E7A" w:rsidRPr="00652D04">
        <w:rPr>
          <w:lang w:val="fr-FR"/>
        </w:rPr>
        <w:t>Assemblée de l</w:t>
      </w:r>
      <w:r w:rsidR="00D67156" w:rsidRPr="00652D04">
        <w:rPr>
          <w:lang w:val="fr-FR"/>
        </w:rPr>
        <w:t>’</w:t>
      </w:r>
      <w:r w:rsidR="00A60E7A" w:rsidRPr="00652D04">
        <w:rPr>
          <w:lang w:val="fr-FR"/>
        </w:rPr>
        <w:t>Union de Paris a élu à l</w:t>
      </w:r>
      <w:r w:rsidR="00D67156" w:rsidRPr="00652D04">
        <w:rPr>
          <w:lang w:val="fr-FR"/>
        </w:rPr>
        <w:t>’</w:t>
      </w:r>
      <w:r w:rsidR="00A60E7A" w:rsidRPr="00652D04">
        <w:rPr>
          <w:lang w:val="fr-FR"/>
        </w:rPr>
        <w:t>unanimité les États ci</w:t>
      </w:r>
      <w:r w:rsidR="00E70920" w:rsidRPr="00652D04">
        <w:rPr>
          <w:lang w:val="fr-FR"/>
        </w:rPr>
        <w:noBreakHyphen/>
      </w:r>
      <w:r w:rsidR="00A60E7A" w:rsidRPr="00652D04">
        <w:rPr>
          <w:lang w:val="fr-FR"/>
        </w:rPr>
        <w:t>après membres ordinaires du Comité exécutif de l</w:t>
      </w:r>
      <w:r w:rsidR="00D67156" w:rsidRPr="00652D04">
        <w:rPr>
          <w:lang w:val="fr-FR"/>
        </w:rPr>
        <w:t>’</w:t>
      </w:r>
      <w:r w:rsidR="00A60E7A" w:rsidRPr="00652D04">
        <w:rPr>
          <w:lang w:val="fr-FR"/>
        </w:rPr>
        <w:t>Union de Paris</w:t>
      </w:r>
      <w:r w:rsidR="00B03A49" w:rsidRPr="00652D04">
        <w:rPr>
          <w:lang w:val="fr-FR"/>
        </w:rPr>
        <w:t> </w:t>
      </w:r>
      <w:r w:rsidR="00A60E7A" w:rsidRPr="00652D04">
        <w:rPr>
          <w:lang w:val="fr-FR"/>
        </w:rPr>
        <w:t>: Angola, Argentine, Azerbaïdjan, Bahamas, Bangladesh, Burkina Faso, Cameroun, Chine, Colombie, Cuba, Danemark, Équateur, États</w:t>
      </w:r>
      <w:r w:rsidR="00E70920" w:rsidRPr="00652D04">
        <w:rPr>
          <w:lang w:val="fr-FR"/>
        </w:rPr>
        <w:noBreakHyphen/>
      </w:r>
      <w:r w:rsidR="00A60E7A" w:rsidRPr="00652D04">
        <w:rPr>
          <w:lang w:val="fr-FR"/>
        </w:rPr>
        <w:t>Unis d</w:t>
      </w:r>
      <w:r w:rsidR="00D67156" w:rsidRPr="00652D04">
        <w:rPr>
          <w:lang w:val="fr-FR"/>
        </w:rPr>
        <w:t>’</w:t>
      </w:r>
      <w:r w:rsidR="00A60E7A" w:rsidRPr="00652D04">
        <w:rPr>
          <w:lang w:val="fr-FR"/>
        </w:rPr>
        <w:t>Amérique, Finlande, Ghana, Guatemala, Hongrie, Indonésie, Iran (République islamique d</w:t>
      </w:r>
      <w:r w:rsidR="00D67156" w:rsidRPr="00652D04">
        <w:rPr>
          <w:lang w:val="fr-FR"/>
        </w:rPr>
        <w:t>’</w:t>
      </w:r>
      <w:r w:rsidR="00A60E7A" w:rsidRPr="00652D04">
        <w:rPr>
          <w:lang w:val="fr-FR"/>
        </w:rPr>
        <w:t>), Irlande, Islande, Italie, Japon, Kazakhstan, Lettonie, Maroc, Mongolie, Népal, Nouvelle</w:t>
      </w:r>
      <w:r w:rsidR="00E70920" w:rsidRPr="00652D04">
        <w:rPr>
          <w:lang w:val="fr-FR"/>
        </w:rPr>
        <w:noBreakHyphen/>
      </w:r>
      <w:r w:rsidR="00A60E7A" w:rsidRPr="00652D04">
        <w:rPr>
          <w:lang w:val="fr-FR"/>
        </w:rPr>
        <w:t>Zélande, Ouganda, Pakistan, Pérou, Pologne, République de Corée, République populaire démocratique de Corée, République tchèque, Roumanie, Singapour, Sri</w:t>
      </w:r>
      <w:r w:rsidR="00B03A49" w:rsidRPr="00652D04">
        <w:rPr>
          <w:lang w:val="fr-FR"/>
        </w:rPr>
        <w:t> </w:t>
      </w:r>
      <w:r w:rsidR="00A60E7A" w:rsidRPr="00652D04">
        <w:rPr>
          <w:lang w:val="fr-FR"/>
        </w:rPr>
        <w:t>Lanka, Suède, Viet</w:t>
      </w:r>
      <w:r w:rsidR="00B03A49" w:rsidRPr="00652D04">
        <w:rPr>
          <w:lang w:val="fr-FR"/>
        </w:rPr>
        <w:t> </w:t>
      </w:r>
      <w:r w:rsidR="00A60E7A" w:rsidRPr="00652D04">
        <w:rPr>
          <w:lang w:val="fr-FR"/>
        </w:rPr>
        <w:t>Nam (41);</w:t>
      </w:r>
      <w:r w:rsidR="00F96A79" w:rsidRPr="00652D04">
        <w:rPr>
          <w:lang w:val="fr-FR"/>
        </w:rPr>
        <w:t xml:space="preserve">  </w:t>
      </w:r>
      <w:r w:rsidR="00A60E7A" w:rsidRPr="00652D04">
        <w:rPr>
          <w:szCs w:val="22"/>
          <w:lang w:val="fr-FR"/>
        </w:rPr>
        <w:t>l</w:t>
      </w:r>
      <w:r w:rsidR="00D67156" w:rsidRPr="00652D04">
        <w:rPr>
          <w:szCs w:val="22"/>
          <w:lang w:val="fr-FR"/>
        </w:rPr>
        <w:t>’</w:t>
      </w:r>
      <w:r w:rsidR="00A60E7A" w:rsidRPr="00652D04">
        <w:rPr>
          <w:szCs w:val="22"/>
          <w:lang w:val="fr-FR"/>
        </w:rPr>
        <w:t>Assemblée de l</w:t>
      </w:r>
      <w:r w:rsidR="00D67156" w:rsidRPr="00652D04">
        <w:rPr>
          <w:szCs w:val="22"/>
          <w:lang w:val="fr-FR"/>
        </w:rPr>
        <w:t>’</w:t>
      </w:r>
      <w:r w:rsidR="00A60E7A" w:rsidRPr="00652D04">
        <w:rPr>
          <w:szCs w:val="22"/>
          <w:lang w:val="fr-FR"/>
        </w:rPr>
        <w:t>Union de Berne a élu à l</w:t>
      </w:r>
      <w:r w:rsidR="00D67156" w:rsidRPr="00652D04">
        <w:rPr>
          <w:szCs w:val="22"/>
          <w:lang w:val="fr-FR"/>
        </w:rPr>
        <w:t>’</w:t>
      </w:r>
      <w:r w:rsidR="00A60E7A" w:rsidRPr="00652D04">
        <w:rPr>
          <w:szCs w:val="22"/>
          <w:lang w:val="fr-FR"/>
        </w:rPr>
        <w:t>unanimité les États membres ci</w:t>
      </w:r>
      <w:r w:rsidR="00E70920" w:rsidRPr="00652D04">
        <w:rPr>
          <w:szCs w:val="22"/>
          <w:lang w:val="fr-FR"/>
        </w:rPr>
        <w:noBreakHyphen/>
      </w:r>
      <w:r w:rsidR="00A60E7A" w:rsidRPr="00652D04">
        <w:rPr>
          <w:szCs w:val="22"/>
          <w:lang w:val="fr-FR"/>
        </w:rPr>
        <w:t>après membres ordinaires du Comité exécutif de l</w:t>
      </w:r>
      <w:r w:rsidR="00D67156" w:rsidRPr="00652D04">
        <w:rPr>
          <w:szCs w:val="22"/>
          <w:lang w:val="fr-FR"/>
        </w:rPr>
        <w:t>’</w:t>
      </w:r>
      <w:r w:rsidR="00A60E7A" w:rsidRPr="00652D04">
        <w:rPr>
          <w:szCs w:val="22"/>
          <w:lang w:val="fr-FR"/>
        </w:rPr>
        <w:t>Union de Berne</w:t>
      </w:r>
      <w:r w:rsidR="00B03A49" w:rsidRPr="00652D04">
        <w:rPr>
          <w:szCs w:val="22"/>
          <w:lang w:val="fr-FR"/>
        </w:rPr>
        <w:t> </w:t>
      </w:r>
      <w:r w:rsidR="00A60E7A" w:rsidRPr="00652D04">
        <w:rPr>
          <w:szCs w:val="22"/>
          <w:lang w:val="fr-FR"/>
        </w:rPr>
        <w:t xml:space="preserve">: Afrique du Sud, Algérie, Allemagne, Australie, Autriche, Barbade, Belgique, Brésil, </w:t>
      </w:r>
      <w:proofErr w:type="spellStart"/>
      <w:r w:rsidR="00A60E7A" w:rsidRPr="00652D04">
        <w:rPr>
          <w:szCs w:val="22"/>
          <w:lang w:val="fr-FR"/>
        </w:rPr>
        <w:t>Brunéi</w:t>
      </w:r>
      <w:proofErr w:type="spellEnd"/>
      <w:r w:rsidR="00A60E7A" w:rsidRPr="00652D04">
        <w:rPr>
          <w:szCs w:val="22"/>
          <w:lang w:val="fr-FR"/>
        </w:rPr>
        <w:t xml:space="preserve"> Darussalam, Canada, Congo, Costa Rica, Côte d</w:t>
      </w:r>
      <w:r w:rsidR="00D67156" w:rsidRPr="00652D04">
        <w:rPr>
          <w:szCs w:val="22"/>
          <w:lang w:val="fr-FR"/>
        </w:rPr>
        <w:t>’</w:t>
      </w:r>
      <w:r w:rsidR="00A60E7A" w:rsidRPr="00652D04">
        <w:rPr>
          <w:szCs w:val="22"/>
          <w:lang w:val="fr-FR"/>
        </w:rPr>
        <w:t>Ivoire, El Salvador, Espagne, Estonie, Fédération de Russie, France, Gabon, Inde, Kirghizistan, Luxembourg, Malaisie, Mexique, Namibie, Nigéria, Norvège, Panama, Paraguay, Pays</w:t>
      </w:r>
      <w:r w:rsidR="00E70920" w:rsidRPr="00652D04">
        <w:rPr>
          <w:szCs w:val="22"/>
          <w:lang w:val="fr-FR"/>
        </w:rPr>
        <w:noBreakHyphen/>
      </w:r>
      <w:r w:rsidR="00A60E7A" w:rsidRPr="00652D04">
        <w:rPr>
          <w:szCs w:val="22"/>
          <w:lang w:val="fr-FR"/>
        </w:rPr>
        <w:t>Bas, Portugal, République dominicaine, République</w:t>
      </w:r>
      <w:r w:rsidR="00E70920" w:rsidRPr="00652D04">
        <w:rPr>
          <w:szCs w:val="22"/>
          <w:lang w:val="fr-FR"/>
        </w:rPr>
        <w:noBreakHyphen/>
      </w:r>
      <w:r w:rsidR="00A60E7A" w:rsidRPr="00652D04">
        <w:rPr>
          <w:szCs w:val="22"/>
          <w:lang w:val="fr-FR"/>
        </w:rPr>
        <w:t>Unie de Tanzanie, Royaume</w:t>
      </w:r>
      <w:r w:rsidR="00E70920" w:rsidRPr="00652D04">
        <w:rPr>
          <w:szCs w:val="22"/>
          <w:lang w:val="fr-FR"/>
        </w:rPr>
        <w:noBreakHyphen/>
      </w:r>
      <w:r w:rsidR="00A60E7A" w:rsidRPr="00652D04">
        <w:rPr>
          <w:szCs w:val="22"/>
          <w:lang w:val="fr-FR"/>
        </w:rPr>
        <w:t>Uni, Rwanda, Sénégal, Tunisie, Turquie, Zimbabwe (39);</w:t>
      </w:r>
      <w:r w:rsidR="00F96A79" w:rsidRPr="00652D04">
        <w:rPr>
          <w:szCs w:val="22"/>
          <w:lang w:val="fr-FR"/>
        </w:rPr>
        <w:t xml:space="preserve">  </w:t>
      </w:r>
      <w:r w:rsidR="00A60E7A" w:rsidRPr="00652D04">
        <w:rPr>
          <w:szCs w:val="22"/>
          <w:lang w:val="fr-FR"/>
        </w:rPr>
        <w:t>la Conférence de l</w:t>
      </w:r>
      <w:r w:rsidR="00D67156" w:rsidRPr="00652D04">
        <w:rPr>
          <w:szCs w:val="22"/>
          <w:lang w:val="fr-FR"/>
        </w:rPr>
        <w:t>’</w:t>
      </w:r>
      <w:r w:rsidR="00A60E7A" w:rsidRPr="00652D04">
        <w:rPr>
          <w:szCs w:val="22"/>
          <w:lang w:val="fr-FR"/>
        </w:rPr>
        <w:t>OMPI a désigné à l</w:t>
      </w:r>
      <w:r w:rsidR="00D67156" w:rsidRPr="00652D04">
        <w:rPr>
          <w:szCs w:val="22"/>
          <w:lang w:val="fr-FR"/>
        </w:rPr>
        <w:t>’</w:t>
      </w:r>
      <w:r w:rsidR="00A60E7A" w:rsidRPr="00652D04">
        <w:rPr>
          <w:szCs w:val="22"/>
          <w:lang w:val="fr-FR"/>
        </w:rPr>
        <w:t>unanimité les États ci</w:t>
      </w:r>
      <w:r w:rsidR="00E70920" w:rsidRPr="00652D04">
        <w:rPr>
          <w:szCs w:val="22"/>
          <w:lang w:val="fr-FR"/>
        </w:rPr>
        <w:noBreakHyphen/>
      </w:r>
      <w:r w:rsidR="00A60E7A" w:rsidRPr="00652D04">
        <w:rPr>
          <w:szCs w:val="22"/>
          <w:lang w:val="fr-FR"/>
        </w:rPr>
        <w:t>après membres ad</w:t>
      </w:r>
      <w:r w:rsidR="00B03A49" w:rsidRPr="00652D04">
        <w:rPr>
          <w:szCs w:val="22"/>
          <w:lang w:val="fr-FR"/>
        </w:rPr>
        <w:t> </w:t>
      </w:r>
      <w:r w:rsidR="00A60E7A" w:rsidRPr="00652D04">
        <w:rPr>
          <w:szCs w:val="22"/>
          <w:lang w:val="fr-FR"/>
        </w:rPr>
        <w:t>hoc du Comité de coordination de l</w:t>
      </w:r>
      <w:r w:rsidR="00D67156" w:rsidRPr="00652D04">
        <w:rPr>
          <w:szCs w:val="22"/>
          <w:lang w:val="fr-FR"/>
        </w:rPr>
        <w:t>’</w:t>
      </w:r>
      <w:r w:rsidR="00A60E7A" w:rsidRPr="00652D04">
        <w:rPr>
          <w:szCs w:val="22"/>
          <w:lang w:val="fr-FR"/>
        </w:rPr>
        <w:t>OMPI</w:t>
      </w:r>
      <w:r w:rsidR="00B03A49" w:rsidRPr="00652D04">
        <w:rPr>
          <w:szCs w:val="22"/>
          <w:lang w:val="fr-FR"/>
        </w:rPr>
        <w:t> </w:t>
      </w:r>
      <w:r w:rsidR="00A60E7A" w:rsidRPr="00652D04">
        <w:rPr>
          <w:szCs w:val="22"/>
          <w:lang w:val="fr-FR"/>
        </w:rPr>
        <w:t>: Éthiopie, Myanmar (2);</w:t>
      </w:r>
      <w:r w:rsidR="005D227C" w:rsidRPr="00652D04">
        <w:rPr>
          <w:szCs w:val="22"/>
          <w:lang w:val="fr-FR"/>
        </w:rPr>
        <w:t xml:space="preserve">  </w:t>
      </w:r>
      <w:r w:rsidR="00A60E7A" w:rsidRPr="00652D04">
        <w:rPr>
          <w:szCs w:val="22"/>
          <w:lang w:val="fr-FR"/>
        </w:rPr>
        <w:t>la Conférence de l</w:t>
      </w:r>
      <w:r w:rsidR="00D67156" w:rsidRPr="00652D04">
        <w:rPr>
          <w:szCs w:val="22"/>
          <w:lang w:val="fr-FR"/>
        </w:rPr>
        <w:t>’</w:t>
      </w:r>
      <w:r w:rsidR="00A60E7A" w:rsidRPr="00652D04">
        <w:rPr>
          <w:szCs w:val="22"/>
          <w:lang w:val="fr-FR"/>
        </w:rPr>
        <w:t xml:space="preserve">OMPI et les assemblées des Unions de Paris et de Berne ont noté que la Suisse continuerait de siéger comme membre ordinaire </w:t>
      </w:r>
      <w:r w:rsidR="00A60E7A" w:rsidRPr="00652D04">
        <w:rPr>
          <w:i/>
          <w:szCs w:val="22"/>
          <w:lang w:val="fr-FR"/>
        </w:rPr>
        <w:t>ex</w:t>
      </w:r>
      <w:r w:rsidR="00B03A49" w:rsidRPr="00652D04">
        <w:rPr>
          <w:i/>
          <w:szCs w:val="22"/>
          <w:lang w:val="fr-FR"/>
        </w:rPr>
        <w:t> </w:t>
      </w:r>
      <w:proofErr w:type="spellStart"/>
      <w:r w:rsidR="00A60E7A" w:rsidRPr="00652D04">
        <w:rPr>
          <w:i/>
          <w:szCs w:val="22"/>
          <w:lang w:val="fr-FR"/>
        </w:rPr>
        <w:t>officio</w:t>
      </w:r>
      <w:proofErr w:type="spellEnd"/>
      <w:r w:rsidR="00A60E7A" w:rsidRPr="00652D04">
        <w:rPr>
          <w:szCs w:val="22"/>
          <w:lang w:val="fr-FR"/>
        </w:rPr>
        <w:t xml:space="preserve"> du Comité exécutif de l</w:t>
      </w:r>
      <w:r w:rsidR="00D67156" w:rsidRPr="00652D04">
        <w:rPr>
          <w:szCs w:val="22"/>
          <w:lang w:val="fr-FR"/>
        </w:rPr>
        <w:t>’</w:t>
      </w:r>
      <w:r w:rsidR="00A60E7A" w:rsidRPr="00652D04">
        <w:rPr>
          <w:szCs w:val="22"/>
          <w:lang w:val="fr-FR"/>
        </w:rPr>
        <w:t>Union de Paris et du Comité exécutif de l</w:t>
      </w:r>
      <w:r w:rsidR="00D67156" w:rsidRPr="00652D04">
        <w:rPr>
          <w:szCs w:val="22"/>
          <w:lang w:val="fr-FR"/>
        </w:rPr>
        <w:t>’</w:t>
      </w:r>
      <w:r w:rsidR="00A60E7A" w:rsidRPr="00652D04">
        <w:rPr>
          <w:szCs w:val="22"/>
          <w:lang w:val="fr-FR"/>
        </w:rPr>
        <w:t>Union de Berne.</w:t>
      </w:r>
    </w:p>
    <w:p w:rsidR="000006CC" w:rsidRPr="00652D04" w:rsidRDefault="00A60E7A" w:rsidP="00F96A79">
      <w:pPr>
        <w:pStyle w:val="ONUMFS"/>
        <w:numPr>
          <w:ilvl w:val="0"/>
          <w:numId w:val="0"/>
        </w:numPr>
        <w:rPr>
          <w:lang w:val="fr-FR"/>
        </w:rPr>
      </w:pPr>
      <w:r w:rsidRPr="00652D04">
        <w:rPr>
          <w:lang w:val="fr-FR"/>
        </w:rPr>
        <w:t>En conséquence, le Comité de coordination de l</w:t>
      </w:r>
      <w:r w:rsidR="00D67156" w:rsidRPr="00652D04">
        <w:rPr>
          <w:lang w:val="fr-FR"/>
        </w:rPr>
        <w:t>’</w:t>
      </w:r>
      <w:r w:rsidRPr="00652D04">
        <w:rPr>
          <w:lang w:val="fr-FR"/>
        </w:rPr>
        <w:t>OMPI était composé des États ci</w:t>
      </w:r>
      <w:r w:rsidR="00E70920" w:rsidRPr="00652D04">
        <w:rPr>
          <w:lang w:val="fr-FR"/>
        </w:rPr>
        <w:noBreakHyphen/>
      </w:r>
      <w:r w:rsidRPr="00652D04">
        <w:rPr>
          <w:lang w:val="fr-FR"/>
        </w:rPr>
        <w:t>après pour la période allant d</w:t>
      </w:r>
      <w:r w:rsidR="00D67156" w:rsidRPr="00652D04">
        <w:rPr>
          <w:lang w:val="fr-FR"/>
        </w:rPr>
        <w:t>’octobre 20</w:t>
      </w:r>
      <w:r w:rsidRPr="00652D04">
        <w:rPr>
          <w:lang w:val="fr-FR"/>
        </w:rPr>
        <w:t xml:space="preserve">15 à </w:t>
      </w:r>
      <w:r w:rsidR="00D67156" w:rsidRPr="00652D04">
        <w:rPr>
          <w:lang w:val="fr-FR"/>
        </w:rPr>
        <w:t>octobre 20</w:t>
      </w:r>
      <w:r w:rsidRPr="00652D04">
        <w:rPr>
          <w:lang w:val="fr-FR"/>
        </w:rPr>
        <w:t>17</w:t>
      </w:r>
      <w:r w:rsidR="00B03A49" w:rsidRPr="00652D04">
        <w:rPr>
          <w:lang w:val="fr-FR"/>
        </w:rPr>
        <w:t> </w:t>
      </w:r>
      <w:r w:rsidRPr="00652D04">
        <w:rPr>
          <w:lang w:val="fr-FR"/>
        </w:rPr>
        <w:t xml:space="preserve">: Afrique du Sud, Algérie, Allemagne, Angola, Argentine, Australie, Autriche, Azerbaïdjan, Bahamas, Bangladesh, Barbade, Belgique, Brésil, </w:t>
      </w:r>
      <w:proofErr w:type="spellStart"/>
      <w:r w:rsidRPr="00652D04">
        <w:rPr>
          <w:lang w:val="fr-FR"/>
        </w:rPr>
        <w:t>Brunéi</w:t>
      </w:r>
      <w:proofErr w:type="spellEnd"/>
      <w:r w:rsidRPr="00652D04">
        <w:rPr>
          <w:lang w:val="fr-FR"/>
        </w:rPr>
        <w:t xml:space="preserve"> Darussalam, Burkina Faso, Cameroun, Canada, Chine, Colombie, Congo, Costa Rica, Côte d</w:t>
      </w:r>
      <w:r w:rsidR="00D67156" w:rsidRPr="00652D04">
        <w:rPr>
          <w:lang w:val="fr-FR"/>
        </w:rPr>
        <w:t>’</w:t>
      </w:r>
      <w:r w:rsidRPr="00652D04">
        <w:rPr>
          <w:lang w:val="fr-FR"/>
        </w:rPr>
        <w:t>Ivoire, Cuba, Danemark, El Salvador, Équateur, Espagne, Estonie, États</w:t>
      </w:r>
      <w:r w:rsidR="00E70920" w:rsidRPr="00652D04">
        <w:rPr>
          <w:lang w:val="fr-FR"/>
        </w:rPr>
        <w:noBreakHyphen/>
      </w:r>
      <w:r w:rsidRPr="00652D04">
        <w:rPr>
          <w:lang w:val="fr-FR"/>
        </w:rPr>
        <w:t>Unis d</w:t>
      </w:r>
      <w:r w:rsidR="00D67156" w:rsidRPr="00652D04">
        <w:rPr>
          <w:lang w:val="fr-FR"/>
        </w:rPr>
        <w:t>’</w:t>
      </w:r>
      <w:r w:rsidRPr="00652D04">
        <w:rPr>
          <w:lang w:val="fr-FR"/>
        </w:rPr>
        <w:t>Amérique, Éthiopie (ad</w:t>
      </w:r>
      <w:r w:rsidR="00B03A49" w:rsidRPr="00652D04">
        <w:rPr>
          <w:lang w:val="fr-FR"/>
        </w:rPr>
        <w:t> </w:t>
      </w:r>
      <w:r w:rsidRPr="00652D04">
        <w:rPr>
          <w:lang w:val="fr-FR"/>
        </w:rPr>
        <w:t>hoc), Fédération de Russie, Finlande, France, Gabon, Ghana, Guatemala, Hongrie, Inde, Indonésie, Iran (République islamique d</w:t>
      </w:r>
      <w:r w:rsidR="00D67156" w:rsidRPr="00652D04">
        <w:rPr>
          <w:lang w:val="fr-FR"/>
        </w:rPr>
        <w:t>’</w:t>
      </w:r>
      <w:r w:rsidRPr="00652D04">
        <w:rPr>
          <w:lang w:val="fr-FR"/>
        </w:rPr>
        <w:t>), Irlande, Islande, Italie, Japon, Kazakhstan, Kirghizistan, Lettonie, Luxembourg, Malaisie, Maroc, Mexique, Mongolie, Myanmar (ad</w:t>
      </w:r>
      <w:r w:rsidR="00B03A49" w:rsidRPr="00652D04">
        <w:rPr>
          <w:lang w:val="fr-FR"/>
        </w:rPr>
        <w:t> </w:t>
      </w:r>
      <w:r w:rsidRPr="00652D04">
        <w:rPr>
          <w:lang w:val="fr-FR"/>
        </w:rPr>
        <w:t>hoc), Namibie, Népal, Nigéria, Norvège, Nouvelle</w:t>
      </w:r>
      <w:r w:rsidR="00E70920" w:rsidRPr="00652D04">
        <w:rPr>
          <w:lang w:val="fr-FR"/>
        </w:rPr>
        <w:noBreakHyphen/>
      </w:r>
      <w:r w:rsidRPr="00652D04">
        <w:rPr>
          <w:lang w:val="fr-FR"/>
        </w:rPr>
        <w:t>Zélande, Ouganda, Pakistan, Panama, Paraguay, Pays</w:t>
      </w:r>
      <w:r w:rsidR="00E70920" w:rsidRPr="00652D04">
        <w:rPr>
          <w:lang w:val="fr-FR"/>
        </w:rPr>
        <w:noBreakHyphen/>
      </w:r>
      <w:r w:rsidRPr="00652D04">
        <w:rPr>
          <w:lang w:val="fr-FR"/>
        </w:rPr>
        <w:t>Bas, Pérou, Pologne, Portugal, République de Corée, République dominicaine, République populaire démocratique de Corée, République tchèque, République</w:t>
      </w:r>
      <w:r w:rsidR="00E70920" w:rsidRPr="00652D04">
        <w:rPr>
          <w:lang w:val="fr-FR"/>
        </w:rPr>
        <w:noBreakHyphen/>
      </w:r>
      <w:r w:rsidRPr="00652D04">
        <w:rPr>
          <w:lang w:val="fr-FR"/>
        </w:rPr>
        <w:t>Unie de Tanzanie, Roumanie, Royaume</w:t>
      </w:r>
      <w:r w:rsidR="00E70920" w:rsidRPr="00652D04">
        <w:rPr>
          <w:lang w:val="fr-FR"/>
        </w:rPr>
        <w:noBreakHyphen/>
      </w:r>
      <w:r w:rsidRPr="00652D04">
        <w:rPr>
          <w:lang w:val="fr-FR"/>
        </w:rPr>
        <w:t>Uni, Rwanda, Sénégal, Singapour, Sri</w:t>
      </w:r>
      <w:r w:rsidR="00B03A49" w:rsidRPr="00652D04">
        <w:rPr>
          <w:lang w:val="fr-FR"/>
        </w:rPr>
        <w:t> </w:t>
      </w:r>
      <w:r w:rsidRPr="00652D04">
        <w:rPr>
          <w:lang w:val="fr-FR"/>
        </w:rPr>
        <w:t>Lanka, Suède, Suisse (</w:t>
      </w:r>
      <w:r w:rsidRPr="00652D04">
        <w:rPr>
          <w:i/>
          <w:lang w:val="fr-FR"/>
        </w:rPr>
        <w:t>ex</w:t>
      </w:r>
      <w:r w:rsidR="00B03A49" w:rsidRPr="00652D04">
        <w:rPr>
          <w:i/>
          <w:lang w:val="fr-FR"/>
        </w:rPr>
        <w:t> </w:t>
      </w:r>
      <w:proofErr w:type="spellStart"/>
      <w:r w:rsidRPr="00652D04">
        <w:rPr>
          <w:i/>
          <w:lang w:val="fr-FR"/>
        </w:rPr>
        <w:t>officio</w:t>
      </w:r>
      <w:proofErr w:type="spellEnd"/>
      <w:r w:rsidRPr="00652D04">
        <w:rPr>
          <w:lang w:val="fr-FR"/>
        </w:rPr>
        <w:t>), Tunisie, Turquie, Viet</w:t>
      </w:r>
      <w:r w:rsidR="00B03A49" w:rsidRPr="00652D04">
        <w:rPr>
          <w:lang w:val="fr-FR"/>
        </w:rPr>
        <w:t> </w:t>
      </w:r>
      <w:r w:rsidRPr="00652D04">
        <w:rPr>
          <w:lang w:val="fr-FR"/>
        </w:rPr>
        <w:t>Nam, Zimbabwe (83).</w:t>
      </w:r>
    </w:p>
    <w:p w:rsidR="000006CC" w:rsidRPr="00652D04" w:rsidRDefault="00A60E7A" w:rsidP="00F96A79">
      <w:pPr>
        <w:pStyle w:val="Heading2"/>
        <w:rPr>
          <w:lang w:val="fr-FR"/>
        </w:rPr>
      </w:pPr>
      <w:r w:rsidRPr="00652D04">
        <w:rPr>
          <w:lang w:val="fr-FR"/>
        </w:rPr>
        <w:t>Point</w:t>
      </w:r>
      <w:r w:rsidR="00B03A49" w:rsidRPr="00652D04">
        <w:rPr>
          <w:lang w:val="fr-FR"/>
        </w:rPr>
        <w:t> </w:t>
      </w:r>
      <w:r w:rsidRPr="00652D04">
        <w:rPr>
          <w:lang w:val="fr-FR"/>
        </w:rPr>
        <w:t>9 de l</w:t>
      </w:r>
      <w:r w:rsidR="00D67156" w:rsidRPr="00652D04">
        <w:rPr>
          <w:lang w:val="fr-FR"/>
        </w:rPr>
        <w:t>’</w:t>
      </w:r>
      <w:r w:rsidRPr="00652D04">
        <w:rPr>
          <w:lang w:val="fr-FR"/>
        </w:rPr>
        <w:t>ordre du jour unifié</w:t>
      </w:r>
    </w:p>
    <w:p w:rsidR="00D67156" w:rsidRPr="00652D04" w:rsidRDefault="00A60E7A" w:rsidP="00F96A79">
      <w:pPr>
        <w:pStyle w:val="Heading2"/>
        <w:rPr>
          <w:lang w:val="fr-FR"/>
        </w:rPr>
      </w:pPr>
      <w:r w:rsidRPr="00652D04">
        <w:rPr>
          <w:lang w:val="fr-FR"/>
        </w:rPr>
        <w:t>Approbation d</w:t>
      </w:r>
      <w:r w:rsidR="00D67156" w:rsidRPr="00652D04">
        <w:rPr>
          <w:lang w:val="fr-FR"/>
        </w:rPr>
        <w:t>’</w:t>
      </w:r>
      <w:r w:rsidRPr="00652D04">
        <w:rPr>
          <w:lang w:val="fr-FR"/>
        </w:rPr>
        <w:t>accords</w:t>
      </w:r>
    </w:p>
    <w:p w:rsidR="000006CC" w:rsidRPr="00652D04" w:rsidRDefault="000006CC" w:rsidP="004E2F5B">
      <w:pPr>
        <w:pStyle w:val="Endofdocument-Annex"/>
        <w:ind w:left="0"/>
        <w:rPr>
          <w:lang w:val="fr-FR"/>
        </w:rPr>
      </w:pPr>
    </w:p>
    <w:p w:rsidR="00D67156" w:rsidRPr="00652D04" w:rsidRDefault="00AD137D" w:rsidP="00F96A79">
      <w:pPr>
        <w:pStyle w:val="ONUMFS"/>
        <w:numPr>
          <w:ilvl w:val="0"/>
          <w:numId w:val="0"/>
        </w:numPr>
        <w:rPr>
          <w:lang w:val="fr-FR"/>
        </w:rPr>
      </w:pPr>
      <w:r w:rsidRPr="00652D04">
        <w:rPr>
          <w:lang w:val="fr-FR"/>
        </w:rPr>
        <w:t>Le Comité de coordination a approuvé le mémorandum d</w:t>
      </w:r>
      <w:r w:rsidR="00D67156" w:rsidRPr="00652D04">
        <w:rPr>
          <w:lang w:val="fr-FR"/>
        </w:rPr>
        <w:t>’</w:t>
      </w:r>
      <w:r w:rsidRPr="00652D04">
        <w:rPr>
          <w:lang w:val="fr-FR"/>
        </w:rPr>
        <w:t>accord entre l</w:t>
      </w:r>
      <w:r w:rsidR="00D67156" w:rsidRPr="00652D04">
        <w:rPr>
          <w:lang w:val="fr-FR"/>
        </w:rPr>
        <w:t>’</w:t>
      </w:r>
      <w:r w:rsidRPr="00652D04">
        <w:rPr>
          <w:lang w:val="fr-FR"/>
        </w:rPr>
        <w:t>OMPI et</w:t>
      </w:r>
      <w:r w:rsidR="00D67156" w:rsidRPr="00652D04">
        <w:rPr>
          <w:lang w:val="fr-FR"/>
        </w:rPr>
        <w:t xml:space="preserve"> le CER</w:t>
      </w:r>
      <w:r w:rsidRPr="00652D04">
        <w:rPr>
          <w:lang w:val="fr-FR"/>
        </w:rPr>
        <w:t>LALC et le mémorandum d</w:t>
      </w:r>
      <w:r w:rsidR="00D67156" w:rsidRPr="00652D04">
        <w:rPr>
          <w:lang w:val="fr-FR"/>
        </w:rPr>
        <w:t>’</w:t>
      </w:r>
      <w:r w:rsidRPr="00652D04">
        <w:rPr>
          <w:lang w:val="fr-FR"/>
        </w:rPr>
        <w:t>accord entre l</w:t>
      </w:r>
      <w:r w:rsidR="00D67156" w:rsidRPr="00652D04">
        <w:rPr>
          <w:lang w:val="fr-FR"/>
        </w:rPr>
        <w:t>’</w:t>
      </w:r>
      <w:r w:rsidRPr="00652D04">
        <w:rPr>
          <w:lang w:val="fr-FR"/>
        </w:rPr>
        <w:t>OMPI et</w:t>
      </w:r>
      <w:r w:rsidR="00D67156" w:rsidRPr="00652D04">
        <w:rPr>
          <w:lang w:val="fr-FR"/>
        </w:rPr>
        <w:t xml:space="preserve"> la CES</w:t>
      </w:r>
      <w:r w:rsidRPr="00652D04">
        <w:rPr>
          <w:lang w:val="fr-FR"/>
        </w:rPr>
        <w:t xml:space="preserve">AP </w:t>
      </w:r>
      <w:r w:rsidR="007E2C55" w:rsidRPr="00652D04">
        <w:rPr>
          <w:lang w:val="fr-FR"/>
        </w:rPr>
        <w:t>(</w:t>
      </w:r>
      <w:r w:rsidRPr="00652D04">
        <w:rPr>
          <w:lang w:val="fr-FR"/>
        </w:rPr>
        <w:t>annexes</w:t>
      </w:r>
      <w:r w:rsidR="00B03A49" w:rsidRPr="00652D04">
        <w:rPr>
          <w:lang w:val="fr-FR"/>
        </w:rPr>
        <w:t> </w:t>
      </w:r>
      <w:r w:rsidR="00816E56" w:rsidRPr="00652D04">
        <w:rPr>
          <w:lang w:val="fr-FR"/>
        </w:rPr>
        <w:t>I et </w:t>
      </w:r>
      <w:r w:rsidRPr="00652D04">
        <w:rPr>
          <w:lang w:val="fr-FR"/>
        </w:rPr>
        <w:t xml:space="preserve">II du </w:t>
      </w:r>
      <w:r w:rsidR="00D67156" w:rsidRPr="00652D04">
        <w:rPr>
          <w:lang w:val="fr-FR"/>
        </w:rPr>
        <w:t>document WO</w:t>
      </w:r>
      <w:r w:rsidRPr="00652D04">
        <w:rPr>
          <w:lang w:val="fr-FR"/>
        </w:rPr>
        <w:t>/CC/71/1</w:t>
      </w:r>
      <w:r w:rsidR="007E2C55" w:rsidRPr="00652D04">
        <w:rPr>
          <w:lang w:val="fr-FR"/>
        </w:rPr>
        <w:t>)</w:t>
      </w:r>
      <w:r w:rsidR="00816E56" w:rsidRPr="00652D04">
        <w:rPr>
          <w:lang w:val="fr-FR"/>
        </w:rPr>
        <w:t>.</w:t>
      </w:r>
    </w:p>
    <w:p w:rsidR="000006CC" w:rsidRPr="00652D04" w:rsidRDefault="00A60E7A" w:rsidP="00F96A79">
      <w:pPr>
        <w:pStyle w:val="Heading2"/>
        <w:rPr>
          <w:lang w:val="fr-FR"/>
        </w:rPr>
      </w:pPr>
      <w:r w:rsidRPr="00652D04">
        <w:rPr>
          <w:lang w:val="fr-FR"/>
        </w:rPr>
        <w:lastRenderedPageBreak/>
        <w:t>Point</w:t>
      </w:r>
      <w:r w:rsidR="00B03A49" w:rsidRPr="00652D04">
        <w:rPr>
          <w:lang w:val="fr-FR"/>
        </w:rPr>
        <w:t> </w:t>
      </w:r>
      <w:r w:rsidRPr="00652D04">
        <w:rPr>
          <w:lang w:val="fr-FR"/>
        </w:rPr>
        <w:t>10 de l</w:t>
      </w:r>
      <w:r w:rsidR="00D67156" w:rsidRPr="00652D04">
        <w:rPr>
          <w:lang w:val="fr-FR"/>
        </w:rPr>
        <w:t>’</w:t>
      </w:r>
      <w:r w:rsidRPr="00652D04">
        <w:rPr>
          <w:lang w:val="fr-FR"/>
        </w:rPr>
        <w:t>ordre du jour unifié</w:t>
      </w:r>
    </w:p>
    <w:p w:rsidR="000006CC" w:rsidRPr="00652D04" w:rsidRDefault="00A60E7A" w:rsidP="00F96A79">
      <w:pPr>
        <w:pStyle w:val="Heading2"/>
        <w:rPr>
          <w:lang w:val="fr-FR"/>
        </w:rPr>
      </w:pPr>
      <w:r w:rsidRPr="00652D04">
        <w:rPr>
          <w:lang w:val="fr-FR"/>
        </w:rPr>
        <w:t>Rapports d</w:t>
      </w:r>
      <w:r w:rsidR="00D67156" w:rsidRPr="00652D04">
        <w:rPr>
          <w:lang w:val="fr-FR"/>
        </w:rPr>
        <w:t>’</w:t>
      </w:r>
      <w:r w:rsidRPr="00652D04">
        <w:rPr>
          <w:lang w:val="fr-FR"/>
        </w:rPr>
        <w:t>audit et de supervision</w:t>
      </w:r>
    </w:p>
    <w:p w:rsidR="000006CC" w:rsidRPr="00652D04" w:rsidRDefault="00A60E7A" w:rsidP="00F96A79">
      <w:pPr>
        <w:pStyle w:val="Heading3"/>
        <w:rPr>
          <w:lang w:val="fr-FR"/>
        </w:rPr>
      </w:pPr>
      <w:r w:rsidRPr="00652D04">
        <w:rPr>
          <w:lang w:val="fr-FR"/>
        </w:rPr>
        <w:t>Rapport de l</w:t>
      </w:r>
      <w:r w:rsidR="00D67156" w:rsidRPr="00652D04">
        <w:rPr>
          <w:lang w:val="fr-FR"/>
        </w:rPr>
        <w:t>’</w:t>
      </w:r>
      <w:r w:rsidRPr="00652D04">
        <w:rPr>
          <w:lang w:val="fr-FR"/>
        </w:rPr>
        <w:t>Organe consultatif indépendant de surveillance (OCIS) de l</w:t>
      </w:r>
      <w:r w:rsidR="00D67156" w:rsidRPr="00652D04">
        <w:rPr>
          <w:lang w:val="fr-FR"/>
        </w:rPr>
        <w:t>’</w:t>
      </w:r>
      <w:r w:rsidRPr="00652D04">
        <w:rPr>
          <w:lang w:val="fr-FR"/>
        </w:rPr>
        <w:t>OMPI</w:t>
      </w:r>
    </w:p>
    <w:p w:rsidR="000006CC" w:rsidRPr="00652D04" w:rsidRDefault="000006CC" w:rsidP="00F96A79">
      <w:pPr>
        <w:rPr>
          <w:lang w:val="fr-FR"/>
        </w:rPr>
      </w:pPr>
    </w:p>
    <w:p w:rsidR="000006CC" w:rsidRPr="00652D04" w:rsidRDefault="00A60E7A" w:rsidP="00F96A79">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a pris note du “Rapport de l</w:t>
      </w:r>
      <w:r w:rsidR="00D67156" w:rsidRPr="00652D04">
        <w:rPr>
          <w:lang w:val="fr-FR"/>
        </w:rPr>
        <w:t>’</w:t>
      </w:r>
      <w:r w:rsidRPr="00652D04">
        <w:rPr>
          <w:lang w:val="fr-FR"/>
        </w:rPr>
        <w:t>Organe consultatif indépendant de surveillance (OCIS) de l</w:t>
      </w:r>
      <w:r w:rsidR="00D67156" w:rsidRPr="00652D04">
        <w:rPr>
          <w:lang w:val="fr-FR"/>
        </w:rPr>
        <w:t>’</w:t>
      </w:r>
      <w:r w:rsidRPr="00652D04">
        <w:rPr>
          <w:lang w:val="fr-FR"/>
        </w:rPr>
        <w:t>OMPI” (document WO/GA/47/2).</w:t>
      </w:r>
    </w:p>
    <w:p w:rsidR="000006CC" w:rsidRPr="00652D04" w:rsidRDefault="00A60E7A" w:rsidP="00DD78D5">
      <w:pPr>
        <w:pStyle w:val="Heading3"/>
        <w:rPr>
          <w:lang w:val="fr-FR"/>
        </w:rPr>
      </w:pPr>
      <w:r w:rsidRPr="00652D04">
        <w:rPr>
          <w:lang w:val="fr-FR"/>
        </w:rPr>
        <w:t>Rapport du vérificateur externe des comptes</w:t>
      </w:r>
    </w:p>
    <w:p w:rsidR="000006CC" w:rsidRPr="00652D04" w:rsidRDefault="000006CC" w:rsidP="00DD78D5">
      <w:pPr>
        <w:rPr>
          <w:lang w:val="fr-FR"/>
        </w:rPr>
      </w:pPr>
    </w:p>
    <w:p w:rsidR="000006CC" w:rsidRPr="00652D04" w:rsidRDefault="00A60E7A" w:rsidP="00DD78D5">
      <w:pPr>
        <w:pStyle w:val="ONUMFS"/>
        <w:numPr>
          <w:ilvl w:val="0"/>
          <w:numId w:val="0"/>
        </w:numPr>
        <w:rPr>
          <w:lang w:val="fr-FR"/>
        </w:rPr>
      </w:pPr>
      <w:r w:rsidRPr="00652D04">
        <w:rPr>
          <w:lang w:val="fr-FR"/>
        </w:rPr>
        <w:t>Les assemblées des États membres de l</w:t>
      </w:r>
      <w:r w:rsidR="00D67156" w:rsidRPr="00652D04">
        <w:rPr>
          <w:lang w:val="fr-FR"/>
        </w:rPr>
        <w:t>’</w:t>
      </w:r>
      <w:r w:rsidRPr="00652D04">
        <w:rPr>
          <w:lang w:val="fr-FR"/>
        </w:rPr>
        <w:t>OMPI et des unions, chacune pour ce qui la concerne, ont pris note du “Rapport du vérificateur externe des comptes” (document A/55/9).</w:t>
      </w:r>
    </w:p>
    <w:p w:rsidR="000006CC" w:rsidRPr="00652D04" w:rsidRDefault="00A60E7A" w:rsidP="00DD78D5">
      <w:pPr>
        <w:pStyle w:val="Heading3"/>
        <w:rPr>
          <w:lang w:val="fr-FR"/>
        </w:rPr>
      </w:pPr>
      <w:r w:rsidRPr="00652D04">
        <w:rPr>
          <w:lang w:val="fr-FR"/>
        </w:rPr>
        <w:t>Rapport du directeur de la Division de la supervision interne</w:t>
      </w:r>
    </w:p>
    <w:p w:rsidR="000006CC" w:rsidRPr="00652D04" w:rsidRDefault="000006CC" w:rsidP="00DD78D5">
      <w:pPr>
        <w:rPr>
          <w:lang w:val="fr-FR"/>
        </w:rPr>
      </w:pPr>
    </w:p>
    <w:p w:rsidR="000006CC" w:rsidRPr="00652D04" w:rsidRDefault="00A60E7A" w:rsidP="00DD78D5">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a pris note du “Rapport annuel du directeur de la Division de la supervision interne (DSI)” (document WO/GA/47/4).</w:t>
      </w:r>
    </w:p>
    <w:p w:rsidR="000006CC" w:rsidRPr="00652D04" w:rsidRDefault="00A60E7A" w:rsidP="00DD78D5">
      <w:pPr>
        <w:pStyle w:val="Heading2"/>
        <w:rPr>
          <w:lang w:val="fr-FR"/>
        </w:rPr>
      </w:pPr>
      <w:r w:rsidRPr="00652D04">
        <w:rPr>
          <w:lang w:val="fr-FR"/>
        </w:rPr>
        <w:t>Point</w:t>
      </w:r>
      <w:r w:rsidR="00B03A49" w:rsidRPr="00652D04">
        <w:rPr>
          <w:lang w:val="fr-FR"/>
        </w:rPr>
        <w:t> </w:t>
      </w:r>
      <w:r w:rsidRPr="00652D04">
        <w:rPr>
          <w:lang w:val="fr-FR"/>
        </w:rPr>
        <w:t>11 de l</w:t>
      </w:r>
      <w:r w:rsidR="00D67156" w:rsidRPr="00652D04">
        <w:rPr>
          <w:lang w:val="fr-FR"/>
        </w:rPr>
        <w:t>’</w:t>
      </w:r>
      <w:r w:rsidRPr="00652D04">
        <w:rPr>
          <w:lang w:val="fr-FR"/>
        </w:rPr>
        <w:t>ordre du jour unifié</w:t>
      </w:r>
    </w:p>
    <w:p w:rsidR="000006CC" w:rsidRPr="00652D04" w:rsidRDefault="00A60E7A" w:rsidP="00DD78D5">
      <w:pPr>
        <w:pStyle w:val="Heading2"/>
        <w:rPr>
          <w:lang w:val="fr-FR"/>
        </w:rPr>
      </w:pPr>
      <w:r w:rsidRPr="00652D04">
        <w:rPr>
          <w:lang w:val="fr-FR"/>
        </w:rPr>
        <w:t>Rapport sur le Comité du programme et budget</w:t>
      </w:r>
    </w:p>
    <w:p w:rsidR="000006CC" w:rsidRPr="00652D04" w:rsidRDefault="000006CC" w:rsidP="004E2F5B">
      <w:pPr>
        <w:tabs>
          <w:tab w:val="num" w:pos="-57"/>
        </w:tabs>
        <w:contextualSpacing/>
        <w:rPr>
          <w:szCs w:val="22"/>
          <w:lang w:val="fr-FR"/>
        </w:rPr>
      </w:pPr>
    </w:p>
    <w:p w:rsidR="00D67156" w:rsidRPr="00652D04" w:rsidRDefault="001E18DD" w:rsidP="00DD78D5">
      <w:pPr>
        <w:pStyle w:val="ONUMFS"/>
        <w:numPr>
          <w:ilvl w:val="0"/>
          <w:numId w:val="0"/>
        </w:numPr>
        <w:rPr>
          <w:lang w:val="fr-FR"/>
        </w:rPr>
      </w:pPr>
      <w:r w:rsidRPr="00652D04">
        <w:rPr>
          <w:lang w:val="fr-FR"/>
        </w:rPr>
        <w:t xml:space="preserve">Le président a indiqué que le point 11 couvrait toutes les questions examinées par le Comité du programme et budget (PBC) à </w:t>
      </w:r>
      <w:proofErr w:type="gramStart"/>
      <w:r w:rsidRPr="00652D04">
        <w:rPr>
          <w:lang w:val="fr-FR"/>
        </w:rPr>
        <w:t>ses</w:t>
      </w:r>
      <w:proofErr w:type="gramEnd"/>
      <w:r w:rsidRPr="00652D04">
        <w:rPr>
          <w:lang w:val="fr-FR"/>
        </w:rPr>
        <w:t xml:space="preserve"> vingt</w:t>
      </w:r>
      <w:r w:rsidR="00E70920" w:rsidRPr="00652D04">
        <w:rPr>
          <w:lang w:val="fr-FR"/>
        </w:rPr>
        <w:noBreakHyphen/>
      </w:r>
      <w:r w:rsidRPr="00652D04">
        <w:rPr>
          <w:lang w:val="fr-FR"/>
        </w:rPr>
        <w:t>troisième et vingt</w:t>
      </w:r>
      <w:r w:rsidR="00E70920" w:rsidRPr="00652D04">
        <w:rPr>
          <w:lang w:val="fr-FR"/>
        </w:rPr>
        <w:noBreakHyphen/>
      </w:r>
      <w:r w:rsidRPr="00652D04">
        <w:rPr>
          <w:lang w:val="fr-FR"/>
        </w:rPr>
        <w:t>quatrième sessions,</w:t>
      </w:r>
      <w:r w:rsidR="00B5291A" w:rsidRPr="00652D04">
        <w:rPr>
          <w:lang w:val="fr-FR"/>
        </w:rPr>
        <w:t xml:space="preserve"> à l</w:t>
      </w:r>
      <w:r w:rsidR="00D67156" w:rsidRPr="00652D04">
        <w:rPr>
          <w:lang w:val="fr-FR"/>
        </w:rPr>
        <w:t>’</w:t>
      </w:r>
      <w:r w:rsidR="00B5291A" w:rsidRPr="00652D04">
        <w:rPr>
          <w:lang w:val="fr-FR"/>
        </w:rPr>
        <w:t>exception des “Rapports d</w:t>
      </w:r>
      <w:r w:rsidR="00D67156" w:rsidRPr="00652D04">
        <w:rPr>
          <w:lang w:val="fr-FR"/>
        </w:rPr>
        <w:t>’</w:t>
      </w:r>
      <w:r w:rsidR="00B5291A" w:rsidRPr="00652D04">
        <w:rPr>
          <w:lang w:val="fr-FR"/>
        </w:rPr>
        <w:t xml:space="preserve">audit </w:t>
      </w:r>
      <w:r w:rsidRPr="00652D04">
        <w:rPr>
          <w:lang w:val="fr-FR"/>
        </w:rPr>
        <w:t>et de supervision”, qui avaient été examinés au titre du point 10</w:t>
      </w:r>
      <w:r w:rsidR="00B5291A" w:rsidRPr="00652D04">
        <w:rPr>
          <w:lang w:val="fr-FR"/>
        </w:rPr>
        <w:t xml:space="preserve"> de l</w:t>
      </w:r>
      <w:r w:rsidR="00D67156" w:rsidRPr="00652D04">
        <w:rPr>
          <w:lang w:val="fr-FR"/>
        </w:rPr>
        <w:t>’</w:t>
      </w:r>
      <w:r w:rsidR="00B5291A" w:rsidRPr="00652D04">
        <w:rPr>
          <w:lang w:val="fr-FR"/>
        </w:rPr>
        <w:t>ordre du jo</w:t>
      </w:r>
      <w:r w:rsidR="00E70920" w:rsidRPr="00652D04">
        <w:rPr>
          <w:lang w:val="fr-FR"/>
        </w:rPr>
        <w:t>ur.  Co</w:t>
      </w:r>
      <w:r w:rsidRPr="00652D04">
        <w:rPr>
          <w:lang w:val="fr-FR"/>
        </w:rPr>
        <w:t xml:space="preserve">mme indiqué dans le document A/55/4 intitulé “Décisions prises par le Comité du programme et budget”, le comité </w:t>
      </w:r>
      <w:r w:rsidR="0078746A" w:rsidRPr="00652D04">
        <w:rPr>
          <w:lang w:val="fr-FR"/>
        </w:rPr>
        <w:t>n</w:t>
      </w:r>
      <w:r w:rsidR="00D67156" w:rsidRPr="00652D04">
        <w:rPr>
          <w:lang w:val="fr-FR"/>
        </w:rPr>
        <w:t>’</w:t>
      </w:r>
      <w:r w:rsidR="0078746A" w:rsidRPr="00652D04">
        <w:rPr>
          <w:lang w:val="fr-FR"/>
        </w:rPr>
        <w:t>était pas parvenu</w:t>
      </w:r>
      <w:r w:rsidR="00B5291A" w:rsidRPr="00652D04">
        <w:rPr>
          <w:lang w:val="fr-FR"/>
        </w:rPr>
        <w:t xml:space="preserve"> à une conclusion en ce qui concerne</w:t>
      </w:r>
      <w:r w:rsidRPr="00652D04">
        <w:rPr>
          <w:lang w:val="fr-FR"/>
        </w:rPr>
        <w:t xml:space="preserve"> l</w:t>
      </w:r>
      <w:r w:rsidR="00D67156" w:rsidRPr="00652D04">
        <w:rPr>
          <w:lang w:val="fr-FR"/>
        </w:rPr>
        <w:t>’</w:t>
      </w:r>
      <w:r w:rsidRPr="00652D04">
        <w:rPr>
          <w:lang w:val="fr-FR"/>
        </w:rPr>
        <w:t>exam</w:t>
      </w:r>
      <w:r w:rsidR="00B5291A" w:rsidRPr="00652D04">
        <w:rPr>
          <w:lang w:val="fr-FR"/>
        </w:rPr>
        <w:t>en des questions suivantes : a)</w:t>
      </w:r>
      <w:r w:rsidR="00B03A49" w:rsidRPr="00652D04">
        <w:rPr>
          <w:lang w:val="fr-FR"/>
        </w:rPr>
        <w:t> </w:t>
      </w:r>
      <w:r w:rsidR="000D78FD" w:rsidRPr="00652D04">
        <w:rPr>
          <w:lang w:val="fr-FR"/>
        </w:rPr>
        <w:t xml:space="preserve">le </w:t>
      </w:r>
      <w:r w:rsidRPr="00652D04">
        <w:rPr>
          <w:lang w:val="fr-FR"/>
        </w:rPr>
        <w:t>rapport final sur l</w:t>
      </w:r>
      <w:r w:rsidR="00D67156" w:rsidRPr="00652D04">
        <w:rPr>
          <w:lang w:val="fr-FR"/>
        </w:rPr>
        <w:t>’</w:t>
      </w:r>
      <w:r w:rsidRPr="00652D04">
        <w:rPr>
          <w:lang w:val="fr-FR"/>
        </w:rPr>
        <w:t>état d</w:t>
      </w:r>
      <w:r w:rsidR="00D67156" w:rsidRPr="00652D04">
        <w:rPr>
          <w:lang w:val="fr-FR"/>
        </w:rPr>
        <w:t>’</w:t>
      </w:r>
      <w:r w:rsidRPr="00652D04">
        <w:rPr>
          <w:lang w:val="fr-FR"/>
        </w:rPr>
        <w:t>avancement du projet de nouvelle construction et du projet de nouvelle salle de co</w:t>
      </w:r>
      <w:r w:rsidR="00B5291A" w:rsidRPr="00652D04">
        <w:rPr>
          <w:lang w:val="fr-FR"/>
        </w:rPr>
        <w:t xml:space="preserve">nférence;  </w:t>
      </w:r>
      <w:r w:rsidR="00816E56" w:rsidRPr="00652D04">
        <w:rPr>
          <w:lang w:val="fr-FR"/>
        </w:rPr>
        <w:t>et </w:t>
      </w:r>
      <w:r w:rsidR="00B5291A" w:rsidRPr="00652D04">
        <w:rPr>
          <w:lang w:val="fr-FR"/>
        </w:rPr>
        <w:t>b)</w:t>
      </w:r>
      <w:r w:rsidR="00B03A49" w:rsidRPr="00652D04">
        <w:rPr>
          <w:lang w:val="fr-FR"/>
        </w:rPr>
        <w:t> </w:t>
      </w:r>
      <w:r w:rsidR="000D78FD" w:rsidRPr="00652D04">
        <w:rPr>
          <w:lang w:val="fr-FR"/>
        </w:rPr>
        <w:t xml:space="preserve">le </w:t>
      </w:r>
      <w:r w:rsidRPr="00652D04">
        <w:rPr>
          <w:lang w:val="fr-FR"/>
        </w:rPr>
        <w:t>programme et budget proposé pour l</w:t>
      </w:r>
      <w:r w:rsidR="00D67156" w:rsidRPr="00652D04">
        <w:rPr>
          <w:lang w:val="fr-FR"/>
        </w:rPr>
        <w:t>’</w:t>
      </w:r>
      <w:r w:rsidRPr="00652D04">
        <w:rPr>
          <w:lang w:val="fr-FR"/>
        </w:rPr>
        <w:t>exercice biennal 2016</w:t>
      </w:r>
      <w:r w:rsidR="00E70920" w:rsidRPr="00652D04">
        <w:rPr>
          <w:lang w:val="fr-FR"/>
        </w:rPr>
        <w:noBreakHyphen/>
      </w:r>
      <w:r w:rsidRPr="00652D04">
        <w:rPr>
          <w:lang w:val="fr-FR"/>
        </w:rPr>
        <w:t xml:space="preserve">2017, </w:t>
      </w:r>
      <w:r w:rsidR="00D67156" w:rsidRPr="00652D04">
        <w:rPr>
          <w:lang w:val="fr-FR"/>
        </w:rPr>
        <w:t>y compris</w:t>
      </w:r>
      <w:r w:rsidRPr="00652D04">
        <w:rPr>
          <w:lang w:val="fr-FR"/>
        </w:rPr>
        <w:t xml:space="preserve"> les questions relatives à l</w:t>
      </w:r>
      <w:r w:rsidR="00D67156" w:rsidRPr="00652D04">
        <w:rPr>
          <w:lang w:val="fr-FR"/>
        </w:rPr>
        <w:t>’</w:t>
      </w:r>
      <w:r w:rsidRPr="00652D04">
        <w:rPr>
          <w:lang w:val="fr-FR"/>
        </w:rPr>
        <w:t>Union de Lisbon</w:t>
      </w:r>
      <w:r w:rsidR="00E70920" w:rsidRPr="00652D04">
        <w:rPr>
          <w:lang w:val="fr-FR"/>
        </w:rPr>
        <w:t xml:space="preserve">ne.  </w:t>
      </w:r>
      <w:r w:rsidR="00E70920" w:rsidRPr="00652D04">
        <w:rPr>
          <w:bCs/>
          <w:lang w:val="fr-FR"/>
        </w:rPr>
        <w:t>Le</w:t>
      </w:r>
      <w:r w:rsidRPr="00652D04">
        <w:rPr>
          <w:bCs/>
          <w:lang w:val="fr-FR"/>
        </w:rPr>
        <w:t xml:space="preserve"> président a ajouté que, sous le point b), le PBC </w:t>
      </w:r>
      <w:r w:rsidR="0078746A" w:rsidRPr="00652D04">
        <w:rPr>
          <w:bCs/>
          <w:lang w:val="fr-FR"/>
        </w:rPr>
        <w:t>n</w:t>
      </w:r>
      <w:r w:rsidR="00D67156" w:rsidRPr="00652D04">
        <w:rPr>
          <w:bCs/>
          <w:lang w:val="fr-FR"/>
        </w:rPr>
        <w:t>’</w:t>
      </w:r>
      <w:r w:rsidR="0078746A" w:rsidRPr="00652D04">
        <w:rPr>
          <w:bCs/>
          <w:lang w:val="fr-FR"/>
        </w:rPr>
        <w:t xml:space="preserve">était pas parvenu </w:t>
      </w:r>
      <w:r w:rsidR="000D78FD" w:rsidRPr="00652D04">
        <w:rPr>
          <w:bCs/>
          <w:lang w:val="fr-FR"/>
        </w:rPr>
        <w:t>à une conclusion en ce qui concerne</w:t>
      </w:r>
      <w:r w:rsidRPr="00652D04">
        <w:rPr>
          <w:bCs/>
          <w:lang w:val="fr-FR"/>
        </w:rPr>
        <w:t xml:space="preserve"> la question des nouveaux bureaux extérieu</w:t>
      </w:r>
      <w:r w:rsidR="00E70920" w:rsidRPr="00652D04">
        <w:rPr>
          <w:bCs/>
          <w:lang w:val="fr-FR"/>
        </w:rPr>
        <w:t>rs.  En</w:t>
      </w:r>
      <w:r w:rsidRPr="00652D04">
        <w:rPr>
          <w:bCs/>
          <w:lang w:val="fr-FR"/>
        </w:rPr>
        <w:t xml:space="preserve"> outre, le PBC avait </w:t>
      </w:r>
      <w:r w:rsidR="000D78FD" w:rsidRPr="00652D04">
        <w:rPr>
          <w:bCs/>
          <w:lang w:val="fr-FR"/>
        </w:rPr>
        <w:t>noté</w:t>
      </w:r>
      <w:r w:rsidRPr="00652D04">
        <w:rPr>
          <w:bCs/>
          <w:lang w:val="fr-FR"/>
        </w:rPr>
        <w:t xml:space="preserve"> </w:t>
      </w:r>
      <w:r w:rsidR="000D78FD" w:rsidRPr="00652D04">
        <w:rPr>
          <w:bCs/>
          <w:lang w:val="fr-FR"/>
        </w:rPr>
        <w:t>qu</w:t>
      </w:r>
      <w:r w:rsidR="00D67156" w:rsidRPr="00652D04">
        <w:rPr>
          <w:bCs/>
          <w:lang w:val="fr-FR"/>
        </w:rPr>
        <w:t>’</w:t>
      </w:r>
      <w:r w:rsidR="000D78FD" w:rsidRPr="00652D04">
        <w:rPr>
          <w:bCs/>
          <w:lang w:val="fr-FR"/>
        </w:rPr>
        <w:t xml:space="preserve">aucun consensus </w:t>
      </w:r>
      <w:r w:rsidR="0078746A" w:rsidRPr="00652D04">
        <w:rPr>
          <w:bCs/>
          <w:lang w:val="fr-FR"/>
        </w:rPr>
        <w:t>ne s</w:t>
      </w:r>
      <w:r w:rsidR="00D67156" w:rsidRPr="00652D04">
        <w:rPr>
          <w:bCs/>
          <w:lang w:val="fr-FR"/>
        </w:rPr>
        <w:t>’</w:t>
      </w:r>
      <w:r w:rsidR="0078746A" w:rsidRPr="00652D04">
        <w:rPr>
          <w:bCs/>
          <w:lang w:val="fr-FR"/>
        </w:rPr>
        <w:t>était</w:t>
      </w:r>
      <w:r w:rsidR="000D78FD" w:rsidRPr="00652D04">
        <w:rPr>
          <w:bCs/>
          <w:lang w:val="fr-FR"/>
        </w:rPr>
        <w:t xml:space="preserve"> dégagé</w:t>
      </w:r>
      <w:r w:rsidRPr="00652D04">
        <w:rPr>
          <w:bCs/>
          <w:lang w:val="fr-FR"/>
        </w:rPr>
        <w:t xml:space="preserve"> sur les questions </w:t>
      </w:r>
      <w:r w:rsidR="000D78FD" w:rsidRPr="00652D04">
        <w:rPr>
          <w:bCs/>
          <w:lang w:val="fr-FR"/>
        </w:rPr>
        <w:t>ci</w:t>
      </w:r>
      <w:r w:rsidR="00E70920" w:rsidRPr="00652D04">
        <w:rPr>
          <w:bCs/>
          <w:lang w:val="fr-FR"/>
        </w:rPr>
        <w:noBreakHyphen/>
      </w:r>
      <w:r w:rsidR="000D78FD" w:rsidRPr="00652D04">
        <w:rPr>
          <w:bCs/>
          <w:lang w:val="fr-FR"/>
        </w:rPr>
        <w:t>après qui avaient été</w:t>
      </w:r>
      <w:r w:rsidRPr="00652D04">
        <w:rPr>
          <w:bCs/>
          <w:lang w:val="fr-FR"/>
        </w:rPr>
        <w:t xml:space="preserve"> soulevées par certaines délégations : a) la proposition tendant à ce que “l</w:t>
      </w:r>
      <w:r w:rsidR="00D67156" w:rsidRPr="00652D04">
        <w:rPr>
          <w:bCs/>
          <w:lang w:val="fr-FR"/>
        </w:rPr>
        <w:t>’</w:t>
      </w:r>
      <w:r w:rsidRPr="00652D04">
        <w:rPr>
          <w:bCs/>
          <w:lang w:val="fr-FR"/>
        </w:rPr>
        <w:t>affectation de fonds pour couvrir les frais de conférences diplomatiques au cours de l</w:t>
      </w:r>
      <w:r w:rsidR="00D67156" w:rsidRPr="00652D04">
        <w:rPr>
          <w:bCs/>
          <w:lang w:val="fr-FR"/>
        </w:rPr>
        <w:t>’</w:t>
      </w:r>
      <w:r w:rsidRPr="00652D04">
        <w:rPr>
          <w:bCs/>
          <w:lang w:val="fr-FR"/>
        </w:rPr>
        <w:t>exercice 2016</w:t>
      </w:r>
      <w:r w:rsidR="00E70920" w:rsidRPr="00652D04">
        <w:rPr>
          <w:bCs/>
          <w:lang w:val="fr-FR"/>
        </w:rPr>
        <w:noBreakHyphen/>
      </w:r>
      <w:r w:rsidRPr="00652D04">
        <w:rPr>
          <w:bCs/>
          <w:lang w:val="fr-FR"/>
        </w:rPr>
        <w:t>2017 soit subordonnée à la participation pleine et entière de tous les États membres de l</w:t>
      </w:r>
      <w:r w:rsidR="00D67156" w:rsidRPr="00652D04">
        <w:rPr>
          <w:bCs/>
          <w:lang w:val="fr-FR"/>
        </w:rPr>
        <w:t>’</w:t>
      </w:r>
      <w:r w:rsidRPr="00652D04">
        <w:rPr>
          <w:bCs/>
          <w:lang w:val="fr-FR"/>
        </w:rPr>
        <w:t xml:space="preserve">OMPI à ces conférences”;  b) “procéder à une révision de la répartition des recettes et des dépenses par union, </w:t>
      </w:r>
      <w:r w:rsidR="00D67156" w:rsidRPr="00652D04">
        <w:rPr>
          <w:bCs/>
          <w:lang w:val="fr-FR"/>
        </w:rPr>
        <w:t>y compris</w:t>
      </w:r>
      <w:r w:rsidRPr="00652D04">
        <w:rPr>
          <w:bCs/>
          <w:lang w:val="fr-FR"/>
        </w:rPr>
        <w:t xml:space="preserve"> la répartition des recettes accessoires de l</w:t>
      </w:r>
      <w:r w:rsidR="00D67156" w:rsidRPr="00652D04">
        <w:rPr>
          <w:bCs/>
          <w:lang w:val="fr-FR"/>
        </w:rPr>
        <w:t>’</w:t>
      </w:r>
      <w:r w:rsidRPr="00652D04">
        <w:rPr>
          <w:bCs/>
          <w:lang w:val="fr-FR"/>
        </w:rPr>
        <w:t>Organisation”.</w:t>
      </w:r>
    </w:p>
    <w:p w:rsidR="000006CC" w:rsidRPr="00652D04" w:rsidRDefault="001E18DD" w:rsidP="00DD78D5">
      <w:pPr>
        <w:pStyle w:val="ONUMFS"/>
        <w:numPr>
          <w:ilvl w:val="0"/>
          <w:numId w:val="0"/>
        </w:numPr>
        <w:rPr>
          <w:lang w:val="fr-FR"/>
        </w:rPr>
      </w:pPr>
      <w:r w:rsidRPr="00652D04">
        <w:rPr>
          <w:lang w:val="fr-FR"/>
        </w:rPr>
        <w:t>Le président a donné lecture d</w:t>
      </w:r>
      <w:r w:rsidR="00D67156" w:rsidRPr="00652D04">
        <w:rPr>
          <w:lang w:val="fr-FR"/>
        </w:rPr>
        <w:t>’</w:t>
      </w:r>
      <w:r w:rsidRPr="00652D04">
        <w:rPr>
          <w:lang w:val="fr-FR"/>
        </w:rPr>
        <w:t>un</w:t>
      </w:r>
      <w:r w:rsidR="0078746A" w:rsidRPr="00652D04">
        <w:rPr>
          <w:lang w:val="fr-FR"/>
        </w:rPr>
        <w:t>e proposition de</w:t>
      </w:r>
      <w:r w:rsidRPr="00652D04">
        <w:rPr>
          <w:lang w:val="fr-FR"/>
        </w:rPr>
        <w:t xml:space="preserve"> paragraphe de décision</w:t>
      </w:r>
      <w:r w:rsidR="000D78FD" w:rsidRPr="00652D04">
        <w:rPr>
          <w:lang w:val="fr-FR"/>
        </w:rPr>
        <w:t xml:space="preserve"> </w:t>
      </w:r>
      <w:r w:rsidRPr="00652D04">
        <w:rPr>
          <w:lang w:val="fr-FR"/>
        </w:rPr>
        <w:t>figurant dans le document A/55/4, intitulé “Décisions prises par le Comité du programme et budget”, se rapportant à toutes les questions couvertes par le point 11 de l</w:t>
      </w:r>
      <w:r w:rsidR="00D67156" w:rsidRPr="00652D04">
        <w:rPr>
          <w:lang w:val="fr-FR"/>
        </w:rPr>
        <w:t>’</w:t>
      </w:r>
      <w:r w:rsidRPr="00652D04">
        <w:rPr>
          <w:lang w:val="fr-FR"/>
        </w:rPr>
        <w:t>ordre du jour</w:t>
      </w:r>
      <w:r w:rsidR="000D78FD" w:rsidRPr="00652D04">
        <w:rPr>
          <w:lang w:val="fr-FR"/>
        </w:rPr>
        <w:t>,</w:t>
      </w:r>
      <w:r w:rsidRPr="00652D04">
        <w:rPr>
          <w:lang w:val="fr-FR"/>
        </w:rPr>
        <w:t xml:space="preserve"> à l</w:t>
      </w:r>
      <w:r w:rsidR="00D67156" w:rsidRPr="00652D04">
        <w:rPr>
          <w:lang w:val="fr-FR"/>
        </w:rPr>
        <w:t>’</w:t>
      </w:r>
      <w:r w:rsidRPr="00652D04">
        <w:rPr>
          <w:lang w:val="fr-FR"/>
        </w:rPr>
        <w:t xml:space="preserve">exception des questions </w:t>
      </w:r>
      <w:r w:rsidR="009D5A6B" w:rsidRPr="00652D04">
        <w:rPr>
          <w:lang w:val="fr-FR"/>
        </w:rPr>
        <w:t xml:space="preserve">laissées </w:t>
      </w:r>
      <w:r w:rsidRPr="00652D04">
        <w:rPr>
          <w:lang w:val="fr-FR"/>
        </w:rPr>
        <w:t>en suspens mentionnées ci</w:t>
      </w:r>
      <w:r w:rsidR="00E70920" w:rsidRPr="00652D04">
        <w:rPr>
          <w:lang w:val="fr-FR"/>
        </w:rPr>
        <w:noBreakHyphen/>
      </w:r>
      <w:r w:rsidRPr="00652D04">
        <w:rPr>
          <w:lang w:val="fr-FR"/>
        </w:rPr>
        <w:t>dessus.</w:t>
      </w:r>
    </w:p>
    <w:p w:rsidR="000006CC" w:rsidRPr="00652D04" w:rsidRDefault="00DD78D5" w:rsidP="00DD78D5">
      <w:pPr>
        <w:pStyle w:val="ONUMFS"/>
        <w:numPr>
          <w:ilvl w:val="0"/>
          <w:numId w:val="0"/>
        </w:numPr>
        <w:rPr>
          <w:lang w:val="fr-FR"/>
        </w:rPr>
      </w:pPr>
      <w:r w:rsidRPr="00652D04">
        <w:rPr>
          <w:lang w:val="fr-FR"/>
        </w:rPr>
        <w:t>I.</w:t>
      </w:r>
      <w:r w:rsidRPr="00652D04">
        <w:rPr>
          <w:lang w:val="fr-FR"/>
        </w:rPr>
        <w:tab/>
      </w:r>
      <w:r w:rsidR="009D5A6B" w:rsidRPr="00652D04">
        <w:rPr>
          <w:lang w:val="fr-FR"/>
        </w:rPr>
        <w:t>S</w:t>
      </w:r>
      <w:r w:rsidR="00D67156" w:rsidRPr="00652D04">
        <w:rPr>
          <w:lang w:val="fr-FR"/>
        </w:rPr>
        <w:t>’</w:t>
      </w:r>
      <w:r w:rsidR="009D5A6B" w:rsidRPr="00652D04">
        <w:rPr>
          <w:lang w:val="fr-FR"/>
        </w:rPr>
        <w:t>agissant</w:t>
      </w:r>
      <w:r w:rsidR="00A60E7A" w:rsidRPr="00652D04">
        <w:rPr>
          <w:lang w:val="fr-FR"/>
        </w:rPr>
        <w:t xml:space="preserve"> des questions mentionnées au paragraphe précédent, les assemblées des États membres de l</w:t>
      </w:r>
      <w:r w:rsidR="00D67156" w:rsidRPr="00652D04">
        <w:rPr>
          <w:lang w:val="fr-FR"/>
        </w:rPr>
        <w:t>’</w:t>
      </w:r>
      <w:r w:rsidR="00A60E7A" w:rsidRPr="00652D04">
        <w:rPr>
          <w:lang w:val="fr-FR"/>
        </w:rPr>
        <w:t>OMPI et des unions administrées par l</w:t>
      </w:r>
      <w:r w:rsidR="00D67156" w:rsidRPr="00652D04">
        <w:rPr>
          <w:lang w:val="fr-FR"/>
        </w:rPr>
        <w:t>’</w:t>
      </w:r>
      <w:r w:rsidR="00A60E7A" w:rsidRPr="00652D04">
        <w:rPr>
          <w:lang w:val="fr-FR"/>
        </w:rPr>
        <w:t>OMPI, chacune pour ce qui la concerne,</w:t>
      </w:r>
    </w:p>
    <w:p w:rsidR="000006CC" w:rsidRPr="00652D04" w:rsidRDefault="00A60E7A" w:rsidP="00DD78D5">
      <w:pPr>
        <w:pStyle w:val="ONUMFS"/>
        <w:numPr>
          <w:ilvl w:val="0"/>
          <w:numId w:val="0"/>
        </w:numPr>
        <w:rPr>
          <w:lang w:val="fr-FR"/>
        </w:rPr>
      </w:pPr>
      <w:r w:rsidRPr="00652D04">
        <w:rPr>
          <w:lang w:val="fr-FR"/>
        </w:rPr>
        <w:t>i)</w:t>
      </w:r>
      <w:r w:rsidRPr="00652D04">
        <w:rPr>
          <w:lang w:val="fr-FR"/>
        </w:rPr>
        <w:tab/>
        <w:t>ont pris note de la “Liste des décisions” prises par le Comité du programme et budget (document A/55/4) et de</w:t>
      </w:r>
      <w:r w:rsidR="009D5A6B" w:rsidRPr="00652D04">
        <w:rPr>
          <w:lang w:val="fr-FR"/>
        </w:rPr>
        <w:t xml:space="preserve"> la version actualisée de</w:t>
      </w:r>
      <w:r w:rsidRPr="00652D04">
        <w:rPr>
          <w:lang w:val="fr-FR"/>
        </w:rPr>
        <w:t xml:space="preserve"> l</w:t>
      </w:r>
      <w:r w:rsidR="00D67156" w:rsidRPr="00652D04">
        <w:rPr>
          <w:lang w:val="fr-FR"/>
        </w:rPr>
        <w:t>’</w:t>
      </w:r>
      <w:r w:rsidRPr="00652D04">
        <w:rPr>
          <w:lang w:val="fr-FR"/>
        </w:rPr>
        <w:t xml:space="preserve">“État de paiement des contributions au </w:t>
      </w:r>
      <w:r w:rsidR="00D67156" w:rsidRPr="00652D04">
        <w:rPr>
          <w:lang w:val="fr-FR"/>
        </w:rPr>
        <w:t>1</w:t>
      </w:r>
      <w:r w:rsidR="00D67156" w:rsidRPr="00652D04">
        <w:rPr>
          <w:vertAlign w:val="superscript"/>
          <w:lang w:val="fr-FR"/>
        </w:rPr>
        <w:t>er</w:t>
      </w:r>
      <w:r w:rsidR="00D67156" w:rsidRPr="00652D04">
        <w:rPr>
          <w:lang w:val="fr-FR"/>
        </w:rPr>
        <w:t> septembre 20</w:t>
      </w:r>
      <w:r w:rsidRPr="00652D04">
        <w:rPr>
          <w:lang w:val="fr-FR"/>
        </w:rPr>
        <w:t>15” (document A/55/8), et</w:t>
      </w:r>
    </w:p>
    <w:p w:rsidR="000006CC" w:rsidRPr="00652D04" w:rsidRDefault="00A60E7A" w:rsidP="00DD78D5">
      <w:pPr>
        <w:pStyle w:val="ONUMFS"/>
        <w:numPr>
          <w:ilvl w:val="0"/>
          <w:numId w:val="0"/>
        </w:numPr>
        <w:rPr>
          <w:lang w:val="fr-FR"/>
        </w:rPr>
      </w:pPr>
      <w:r w:rsidRPr="00652D04">
        <w:rPr>
          <w:lang w:val="fr-FR"/>
        </w:rPr>
        <w:lastRenderedPageBreak/>
        <w:t>ii)</w:t>
      </w:r>
      <w:r w:rsidRPr="00652D04">
        <w:rPr>
          <w:lang w:val="fr-FR"/>
        </w:rPr>
        <w:tab/>
        <w:t>ont approuvé les recommandations formulées par</w:t>
      </w:r>
      <w:r w:rsidR="00D67156" w:rsidRPr="00652D04">
        <w:rPr>
          <w:lang w:val="fr-FR"/>
        </w:rPr>
        <w:t xml:space="preserve"> le PBC</w:t>
      </w:r>
      <w:r w:rsidRPr="00652D04">
        <w:rPr>
          <w:lang w:val="fr-FR"/>
        </w:rPr>
        <w:t xml:space="preserve"> figurant dans le document WO/PBC/55/4 </w:t>
      </w:r>
      <w:r w:rsidR="00AE0C71" w:rsidRPr="00652D04">
        <w:rPr>
          <w:lang w:val="fr-FR"/>
        </w:rPr>
        <w:t>(</w:t>
      </w:r>
      <w:r w:rsidR="00816E56" w:rsidRPr="00652D04">
        <w:rPr>
          <w:lang w:val="fr-FR"/>
        </w:rPr>
        <w:t>voir le deuxième </w:t>
      </w:r>
      <w:r w:rsidRPr="00652D04">
        <w:rPr>
          <w:lang w:val="fr-FR"/>
        </w:rPr>
        <w:t>paragraphe de ce point de l</w:t>
      </w:r>
      <w:r w:rsidR="00D67156" w:rsidRPr="00652D04">
        <w:rPr>
          <w:lang w:val="fr-FR"/>
        </w:rPr>
        <w:t>’</w:t>
      </w:r>
      <w:r w:rsidRPr="00652D04">
        <w:rPr>
          <w:lang w:val="fr-FR"/>
        </w:rPr>
        <w:t>ordre du jour</w:t>
      </w:r>
      <w:r w:rsidR="00AE0C71" w:rsidRPr="00652D04">
        <w:rPr>
          <w:lang w:val="fr-FR"/>
        </w:rPr>
        <w:t>).</w:t>
      </w:r>
    </w:p>
    <w:p w:rsidR="000006CC" w:rsidRPr="00652D04" w:rsidRDefault="006F1445" w:rsidP="00DD78D5">
      <w:pPr>
        <w:pStyle w:val="ONUMFS"/>
        <w:numPr>
          <w:ilvl w:val="0"/>
          <w:numId w:val="0"/>
        </w:numPr>
        <w:rPr>
          <w:lang w:val="fr-FR"/>
        </w:rPr>
      </w:pPr>
      <w:r w:rsidRPr="00652D04">
        <w:rPr>
          <w:lang w:val="fr-FR"/>
        </w:rPr>
        <w:t>II.</w:t>
      </w:r>
      <w:r w:rsidRPr="00652D04">
        <w:rPr>
          <w:lang w:val="fr-FR"/>
        </w:rPr>
        <w:tab/>
      </w:r>
      <w:r w:rsidR="009D5A6B" w:rsidRPr="00652D04">
        <w:rPr>
          <w:lang w:val="fr-FR"/>
        </w:rPr>
        <w:t>S</w:t>
      </w:r>
      <w:r w:rsidR="00D67156" w:rsidRPr="00652D04">
        <w:rPr>
          <w:lang w:val="fr-FR"/>
        </w:rPr>
        <w:t>’</w:t>
      </w:r>
      <w:r w:rsidR="009D5A6B" w:rsidRPr="00652D04">
        <w:rPr>
          <w:lang w:val="fr-FR"/>
        </w:rPr>
        <w:t>agissant du Rapport sur l</w:t>
      </w:r>
      <w:r w:rsidR="00D67156" w:rsidRPr="00652D04">
        <w:rPr>
          <w:lang w:val="fr-FR"/>
        </w:rPr>
        <w:t>’</w:t>
      </w:r>
      <w:r w:rsidR="009D5A6B" w:rsidRPr="00652D04">
        <w:rPr>
          <w:lang w:val="fr-FR"/>
        </w:rPr>
        <w:t>état d</w:t>
      </w:r>
      <w:r w:rsidR="00D67156" w:rsidRPr="00652D04">
        <w:rPr>
          <w:lang w:val="fr-FR"/>
        </w:rPr>
        <w:t>’</w:t>
      </w:r>
      <w:r w:rsidR="009D5A6B" w:rsidRPr="00652D04">
        <w:rPr>
          <w:lang w:val="fr-FR"/>
        </w:rPr>
        <w:t>avancement du projet de nouvelle construction et du projet de nouvelle salle de conférence</w:t>
      </w:r>
      <w:r w:rsidR="009E5F37" w:rsidRPr="00652D04">
        <w:rPr>
          <w:lang w:val="fr-FR"/>
        </w:rPr>
        <w:t xml:space="preserve"> (document A/55/11), </w:t>
      </w:r>
      <w:r w:rsidR="009D5A6B" w:rsidRPr="00652D04">
        <w:rPr>
          <w:lang w:val="fr-FR"/>
        </w:rPr>
        <w:t>les assemblées des États membres de l</w:t>
      </w:r>
      <w:r w:rsidR="00D67156" w:rsidRPr="00652D04">
        <w:rPr>
          <w:lang w:val="fr-FR"/>
        </w:rPr>
        <w:t>’</w:t>
      </w:r>
      <w:r w:rsidR="009D5A6B" w:rsidRPr="00652D04">
        <w:rPr>
          <w:lang w:val="fr-FR"/>
        </w:rPr>
        <w:t>OMPI et des unions administrées par l</w:t>
      </w:r>
      <w:r w:rsidR="00D67156" w:rsidRPr="00652D04">
        <w:rPr>
          <w:lang w:val="fr-FR"/>
        </w:rPr>
        <w:t>’</w:t>
      </w:r>
      <w:r w:rsidR="009D5A6B" w:rsidRPr="00652D04">
        <w:rPr>
          <w:lang w:val="fr-FR"/>
        </w:rPr>
        <w:t>OMPI, chacune pour ce qui la concerne,</w:t>
      </w:r>
    </w:p>
    <w:p w:rsidR="000006CC" w:rsidRPr="00652D04" w:rsidRDefault="00A60E7A" w:rsidP="00DD78D5">
      <w:pPr>
        <w:pStyle w:val="ONUMFS"/>
        <w:numPr>
          <w:ilvl w:val="0"/>
          <w:numId w:val="0"/>
        </w:numPr>
        <w:rPr>
          <w:lang w:val="fr-FR"/>
        </w:rPr>
      </w:pPr>
      <w:r w:rsidRPr="00652D04">
        <w:rPr>
          <w:lang w:val="fr-FR"/>
        </w:rPr>
        <w:t>a)</w:t>
      </w:r>
      <w:r w:rsidRPr="00652D04">
        <w:rPr>
          <w:lang w:val="fr-FR"/>
        </w:rPr>
        <w:tab/>
        <w:t>ont pris note du contenu du Rapport sur l</w:t>
      </w:r>
      <w:r w:rsidR="00D67156" w:rsidRPr="00652D04">
        <w:rPr>
          <w:lang w:val="fr-FR"/>
        </w:rPr>
        <w:t>’</w:t>
      </w:r>
      <w:r w:rsidRPr="00652D04">
        <w:rPr>
          <w:lang w:val="fr-FR"/>
        </w:rPr>
        <w:t>état d</w:t>
      </w:r>
      <w:r w:rsidR="00D67156" w:rsidRPr="00652D04">
        <w:rPr>
          <w:lang w:val="fr-FR"/>
        </w:rPr>
        <w:t>’</w:t>
      </w:r>
      <w:r w:rsidRPr="00652D04">
        <w:rPr>
          <w:lang w:val="fr-FR"/>
        </w:rPr>
        <w:t>avancement du projet de nouvelle construction et du projet de nouvelle salle de conférence (document A/55/11), notamment le fait que des discussions sont en cours avec les trois</w:t>
      </w:r>
      <w:r w:rsidR="00B03A49" w:rsidRPr="00652D04">
        <w:rPr>
          <w:lang w:val="fr-FR"/>
        </w:rPr>
        <w:t> </w:t>
      </w:r>
      <w:r w:rsidRPr="00652D04">
        <w:rPr>
          <w:lang w:val="fr-FR"/>
        </w:rPr>
        <w:t>entreprises et les trois</w:t>
      </w:r>
      <w:r w:rsidR="00B03A49" w:rsidRPr="00652D04">
        <w:rPr>
          <w:lang w:val="fr-FR"/>
        </w:rPr>
        <w:t> </w:t>
      </w:r>
      <w:r w:rsidRPr="00652D04">
        <w:rPr>
          <w:lang w:val="fr-FR"/>
        </w:rPr>
        <w:t xml:space="preserve">sociétés spécialisées restantes en </w:t>
      </w:r>
      <w:r w:rsidR="0027422B" w:rsidRPr="00652D04">
        <w:rPr>
          <w:lang w:val="fr-FR"/>
        </w:rPr>
        <w:t>ce qui concerne l</w:t>
      </w:r>
      <w:r w:rsidR="00816E56" w:rsidRPr="00652D04">
        <w:rPr>
          <w:lang w:val="fr-FR"/>
        </w:rPr>
        <w:t>eurs décomptes,</w:t>
      </w:r>
    </w:p>
    <w:p w:rsidR="000006CC" w:rsidRPr="00652D04" w:rsidRDefault="00A60E7A" w:rsidP="00DD78D5">
      <w:pPr>
        <w:pStyle w:val="ONUMFS"/>
        <w:numPr>
          <w:ilvl w:val="0"/>
          <w:numId w:val="0"/>
        </w:numPr>
        <w:rPr>
          <w:lang w:val="fr-FR"/>
        </w:rPr>
      </w:pPr>
      <w:r w:rsidRPr="00652D04">
        <w:rPr>
          <w:lang w:val="fr-FR"/>
        </w:rPr>
        <w:t>b)</w:t>
      </w:r>
      <w:r w:rsidRPr="00652D04">
        <w:rPr>
          <w:lang w:val="fr-FR"/>
        </w:rPr>
        <w:tab/>
        <w:t>ont pris note du fait que le Secrétariat</w:t>
      </w:r>
    </w:p>
    <w:p w:rsidR="000006CC" w:rsidRPr="00652D04" w:rsidRDefault="00A60E7A" w:rsidP="00DD78D5">
      <w:pPr>
        <w:pStyle w:val="ONUMFS"/>
        <w:numPr>
          <w:ilvl w:val="0"/>
          <w:numId w:val="0"/>
        </w:numPr>
        <w:ind w:left="567"/>
        <w:rPr>
          <w:lang w:val="fr-FR"/>
        </w:rPr>
      </w:pPr>
      <w:r w:rsidRPr="00652D04">
        <w:rPr>
          <w:lang w:val="fr-FR"/>
        </w:rPr>
        <w:t>i)</w:t>
      </w:r>
      <w:r w:rsidRPr="00652D04">
        <w:rPr>
          <w:lang w:val="fr-FR"/>
        </w:rPr>
        <w:tab/>
        <w:t>a fait le maximum pour réduire autant que possible le montant des ressources supplémentaires éventuellement nécessaires pour l</w:t>
      </w:r>
      <w:r w:rsidR="00D67156" w:rsidRPr="00652D04">
        <w:rPr>
          <w:lang w:val="fr-FR"/>
        </w:rPr>
        <w:t>’</w:t>
      </w:r>
      <w:r w:rsidRPr="00652D04">
        <w:rPr>
          <w:lang w:val="fr-FR"/>
        </w:rPr>
        <w:t>achèvement et la clôture de tous les décomptes relatifs au projet de nouvelle salle de conférence,</w:t>
      </w:r>
    </w:p>
    <w:p w:rsidR="00D67156" w:rsidRPr="00652D04" w:rsidRDefault="00A60E7A" w:rsidP="00DD78D5">
      <w:pPr>
        <w:pStyle w:val="ONUMFS"/>
        <w:numPr>
          <w:ilvl w:val="0"/>
          <w:numId w:val="0"/>
        </w:numPr>
        <w:ind w:left="567"/>
        <w:rPr>
          <w:lang w:val="fr-FR"/>
        </w:rPr>
      </w:pPr>
      <w:r w:rsidRPr="00652D04">
        <w:rPr>
          <w:lang w:val="fr-FR"/>
        </w:rPr>
        <w:t>ii)</w:t>
      </w:r>
      <w:r w:rsidRPr="00652D04">
        <w:rPr>
          <w:lang w:val="fr-FR"/>
        </w:rPr>
        <w:tab/>
        <w:t>avait clôturé la quasi</w:t>
      </w:r>
      <w:r w:rsidR="00E70920" w:rsidRPr="00652D04">
        <w:rPr>
          <w:lang w:val="fr-FR"/>
        </w:rPr>
        <w:noBreakHyphen/>
      </w:r>
      <w:r w:rsidRPr="00652D04">
        <w:rPr>
          <w:lang w:val="fr-FR"/>
        </w:rPr>
        <w:t>totalité (102 sur 108) des décomptes relatifs au projet de nouvelle salle de conférence avant les assemblées de</w:t>
      </w:r>
      <w:r w:rsidR="00B03A49" w:rsidRPr="00652D04">
        <w:rPr>
          <w:lang w:val="fr-FR"/>
        </w:rPr>
        <w:t> </w:t>
      </w:r>
      <w:r w:rsidRPr="00652D04">
        <w:rPr>
          <w:lang w:val="fr-FR"/>
        </w:rPr>
        <w:t>2015 et qu</w:t>
      </w:r>
      <w:r w:rsidR="00D67156" w:rsidRPr="00652D04">
        <w:rPr>
          <w:lang w:val="fr-FR"/>
        </w:rPr>
        <w:t>’</w:t>
      </w:r>
      <w:r w:rsidRPr="00652D04">
        <w:rPr>
          <w:lang w:val="fr-FR"/>
        </w:rPr>
        <w:t>il mettrait tout en œuvre pour clôturer les six</w:t>
      </w:r>
      <w:r w:rsidR="00B03A49" w:rsidRPr="00652D04">
        <w:rPr>
          <w:lang w:val="fr-FR"/>
        </w:rPr>
        <w:t> </w:t>
      </w:r>
      <w:r w:rsidRPr="00652D04">
        <w:rPr>
          <w:lang w:val="fr-FR"/>
        </w:rPr>
        <w:t>décomptes restants dès que p</w:t>
      </w:r>
      <w:r w:rsidR="0027422B" w:rsidRPr="00652D04">
        <w:rPr>
          <w:lang w:val="fr-FR"/>
        </w:rPr>
        <w:t>ossible après les assemblées,</w:t>
      </w:r>
      <w:r w:rsidR="00816E56" w:rsidRPr="00652D04">
        <w:rPr>
          <w:lang w:val="fr-FR"/>
        </w:rPr>
        <w:t xml:space="preserve"> et</w:t>
      </w:r>
    </w:p>
    <w:p w:rsidR="000006CC" w:rsidRPr="00652D04" w:rsidRDefault="00A60E7A" w:rsidP="00DD78D5">
      <w:pPr>
        <w:pStyle w:val="ONUMFS"/>
        <w:numPr>
          <w:ilvl w:val="0"/>
          <w:numId w:val="0"/>
        </w:numPr>
        <w:rPr>
          <w:lang w:val="fr-FR"/>
        </w:rPr>
      </w:pPr>
      <w:r w:rsidRPr="00652D04">
        <w:rPr>
          <w:lang w:val="fr-FR"/>
        </w:rPr>
        <w:t>c)</w:t>
      </w:r>
      <w:r w:rsidRPr="00652D04">
        <w:rPr>
          <w:lang w:val="fr-FR"/>
        </w:rPr>
        <w:tab/>
        <w:t>ont approuvé à titre exceptionnel la proposition tendant à ce que toute dépense supplémentaire éventuellement nécessaire pour l</w:t>
      </w:r>
      <w:r w:rsidR="00D67156" w:rsidRPr="00652D04">
        <w:rPr>
          <w:lang w:val="fr-FR"/>
        </w:rPr>
        <w:t>’</w:t>
      </w:r>
      <w:r w:rsidRPr="00652D04">
        <w:rPr>
          <w:lang w:val="fr-FR"/>
        </w:rPr>
        <w:t>achèvement et la clôture du projet de nouvelle salle de conférence en sus du budget approuvé de 75,2</w:t>
      </w:r>
      <w:r w:rsidR="00B03A49" w:rsidRPr="00652D04">
        <w:rPr>
          <w:lang w:val="fr-FR"/>
        </w:rPr>
        <w:t> </w:t>
      </w:r>
      <w:r w:rsidRPr="00652D04">
        <w:rPr>
          <w:lang w:val="fr-FR"/>
        </w:rPr>
        <w:t>millions de francs suisses pour ce projet, à concurrence de 3,5</w:t>
      </w:r>
      <w:r w:rsidR="00B03A49" w:rsidRPr="00652D04">
        <w:rPr>
          <w:lang w:val="fr-FR"/>
        </w:rPr>
        <w:t> </w:t>
      </w:r>
      <w:r w:rsidRPr="00652D04">
        <w:rPr>
          <w:lang w:val="fr-FR"/>
        </w:rPr>
        <w:t>millions de francs suisses, soit couverte par l</w:t>
      </w:r>
      <w:r w:rsidR="00D67156" w:rsidRPr="00652D04">
        <w:rPr>
          <w:lang w:val="fr-FR"/>
        </w:rPr>
        <w:t>’</w:t>
      </w:r>
      <w:r w:rsidRPr="00652D04">
        <w:rPr>
          <w:lang w:val="fr-FR"/>
        </w:rPr>
        <w:t>enveloppe budgétaire globale qui figure dans le programme et budget approuvé de l</w:t>
      </w:r>
      <w:r w:rsidR="00D67156" w:rsidRPr="00652D04">
        <w:rPr>
          <w:lang w:val="fr-FR"/>
        </w:rPr>
        <w:t>’</w:t>
      </w:r>
      <w:r w:rsidRPr="00652D04">
        <w:rPr>
          <w:lang w:val="fr-FR"/>
        </w:rPr>
        <w:t>exercice biennal</w:t>
      </w:r>
      <w:r w:rsidR="00B03A49" w:rsidRPr="00652D04">
        <w:rPr>
          <w:lang w:val="fr-FR"/>
        </w:rPr>
        <w:t> </w:t>
      </w:r>
      <w:r w:rsidRPr="00652D04">
        <w:rPr>
          <w:lang w:val="fr-FR"/>
        </w:rPr>
        <w:t>2014</w:t>
      </w:r>
      <w:r w:rsidR="00E70920" w:rsidRPr="00652D04">
        <w:rPr>
          <w:lang w:val="fr-FR"/>
        </w:rPr>
        <w:noBreakHyphen/>
      </w:r>
      <w:r w:rsidRPr="00652D04">
        <w:rPr>
          <w:lang w:val="fr-FR"/>
        </w:rPr>
        <w:t>2015.</w:t>
      </w:r>
    </w:p>
    <w:p w:rsidR="000006CC" w:rsidRPr="00652D04" w:rsidRDefault="00DD78D5" w:rsidP="00DD78D5">
      <w:pPr>
        <w:pStyle w:val="ONUMFS"/>
        <w:numPr>
          <w:ilvl w:val="0"/>
          <w:numId w:val="0"/>
        </w:numPr>
        <w:rPr>
          <w:rFonts w:eastAsia="Times New Roman" w:hAnsi="Times New Roman" w:cs="Times New Roman"/>
          <w:szCs w:val="22"/>
          <w:lang w:val="fr-FR" w:eastAsia="en-US"/>
        </w:rPr>
      </w:pPr>
      <w:r w:rsidRPr="00652D04">
        <w:rPr>
          <w:lang w:val="fr-FR"/>
        </w:rPr>
        <w:t>III.</w:t>
      </w:r>
      <w:r w:rsidRPr="00652D04">
        <w:rPr>
          <w:lang w:val="fr-FR"/>
        </w:rPr>
        <w:tab/>
      </w:r>
      <w:r w:rsidR="0027422B" w:rsidRPr="00652D04">
        <w:rPr>
          <w:lang w:val="fr-FR"/>
        </w:rPr>
        <w:t>S</w:t>
      </w:r>
      <w:r w:rsidR="00D67156" w:rsidRPr="00652D04">
        <w:rPr>
          <w:lang w:val="fr-FR"/>
        </w:rPr>
        <w:t>’</w:t>
      </w:r>
      <w:r w:rsidR="0027422B" w:rsidRPr="00652D04">
        <w:rPr>
          <w:lang w:val="fr-FR"/>
        </w:rPr>
        <w:t xml:space="preserve">agissant de la question des </w:t>
      </w:r>
      <w:r w:rsidR="00AA6103" w:rsidRPr="00652D04">
        <w:rPr>
          <w:lang w:val="fr-FR"/>
        </w:rPr>
        <w:t xml:space="preserve">nouveaux </w:t>
      </w:r>
      <w:r w:rsidR="0027422B" w:rsidRPr="00652D04">
        <w:rPr>
          <w:lang w:val="fr-FR"/>
        </w:rPr>
        <w:t>bureaux extérieurs, l</w:t>
      </w:r>
      <w:r w:rsidR="00D67156" w:rsidRPr="00652D04">
        <w:rPr>
          <w:lang w:val="fr-FR"/>
        </w:rPr>
        <w:t>’</w:t>
      </w:r>
      <w:r w:rsidR="0027422B" w:rsidRPr="00652D04">
        <w:rPr>
          <w:lang w:val="fr-FR"/>
        </w:rPr>
        <w:t>Assemblée générale de l</w:t>
      </w:r>
      <w:r w:rsidR="00D67156" w:rsidRPr="00652D04">
        <w:rPr>
          <w:lang w:val="fr-FR"/>
        </w:rPr>
        <w:t>’</w:t>
      </w:r>
      <w:r w:rsidR="0027422B" w:rsidRPr="00652D04">
        <w:rPr>
          <w:lang w:val="fr-FR"/>
        </w:rPr>
        <w:t>OMPI a décidé</w:t>
      </w:r>
    </w:p>
    <w:p w:rsidR="000006CC" w:rsidRPr="00652D04" w:rsidRDefault="00A60E7A" w:rsidP="00DD78D5">
      <w:pPr>
        <w:pStyle w:val="ONUMFS"/>
        <w:numPr>
          <w:ilvl w:val="0"/>
          <w:numId w:val="0"/>
        </w:numPr>
        <w:rPr>
          <w:rFonts w:eastAsia="Times New Roman"/>
          <w:szCs w:val="22"/>
          <w:lang w:val="fr-FR" w:eastAsia="en-US"/>
        </w:rPr>
      </w:pPr>
      <w:r w:rsidRPr="00652D04">
        <w:rPr>
          <w:rFonts w:eastAsia="Times New Roman"/>
          <w:szCs w:val="22"/>
          <w:lang w:val="fr-FR" w:eastAsia="en-US"/>
        </w:rPr>
        <w:t>1.</w:t>
      </w:r>
      <w:r w:rsidRPr="00652D04">
        <w:rPr>
          <w:rFonts w:eastAsia="Times New Roman"/>
          <w:szCs w:val="22"/>
          <w:lang w:val="fr-FR" w:eastAsia="en-US"/>
        </w:rPr>
        <w:tab/>
        <w:t>d</w:t>
      </w:r>
      <w:r w:rsidR="00D67156" w:rsidRPr="00652D04">
        <w:rPr>
          <w:rFonts w:eastAsia="Times New Roman"/>
          <w:szCs w:val="22"/>
          <w:lang w:val="fr-FR" w:eastAsia="en-US"/>
        </w:rPr>
        <w:t>’</w:t>
      </w:r>
      <w:r w:rsidRPr="00652D04">
        <w:rPr>
          <w:rFonts w:eastAsia="Times New Roman"/>
          <w:szCs w:val="22"/>
          <w:lang w:val="fr-FR" w:eastAsia="en-US"/>
        </w:rPr>
        <w:t>adopter les principes directeurs joints e</w:t>
      </w:r>
      <w:r w:rsidR="00816E56" w:rsidRPr="00652D04">
        <w:rPr>
          <w:rFonts w:eastAsia="Times New Roman"/>
          <w:szCs w:val="22"/>
          <w:lang w:val="fr-FR" w:eastAsia="en-US"/>
        </w:rPr>
        <w:t>n annexe à la présente décision,</w:t>
      </w:r>
    </w:p>
    <w:p w:rsidR="00D67156" w:rsidRPr="00652D04" w:rsidRDefault="00A60E7A" w:rsidP="00DD78D5">
      <w:pPr>
        <w:pStyle w:val="ONUMFS"/>
        <w:numPr>
          <w:ilvl w:val="0"/>
          <w:numId w:val="0"/>
        </w:numPr>
        <w:rPr>
          <w:rFonts w:eastAsia="Times New Roman"/>
          <w:szCs w:val="22"/>
          <w:lang w:val="fr-FR" w:eastAsia="en-US"/>
        </w:rPr>
      </w:pPr>
      <w:r w:rsidRPr="00652D04">
        <w:rPr>
          <w:rFonts w:eastAsia="Times New Roman"/>
          <w:szCs w:val="22"/>
          <w:lang w:val="fr-FR" w:eastAsia="en-US"/>
        </w:rPr>
        <w:t>2.</w:t>
      </w:r>
      <w:r w:rsidRPr="00652D04">
        <w:rPr>
          <w:rFonts w:eastAsia="Times New Roman"/>
          <w:szCs w:val="22"/>
          <w:lang w:val="fr-FR" w:eastAsia="en-US"/>
        </w:rPr>
        <w:tab/>
        <w:t>consciente de la capacité limitée de l</w:t>
      </w:r>
      <w:r w:rsidR="00D67156" w:rsidRPr="00652D04">
        <w:rPr>
          <w:rFonts w:eastAsia="Times New Roman"/>
          <w:szCs w:val="22"/>
          <w:lang w:val="fr-FR" w:eastAsia="en-US"/>
        </w:rPr>
        <w:t>’</w:t>
      </w:r>
      <w:r w:rsidRPr="00652D04">
        <w:rPr>
          <w:rFonts w:eastAsia="Times New Roman"/>
          <w:szCs w:val="22"/>
          <w:lang w:val="fr-FR" w:eastAsia="en-US"/>
        </w:rPr>
        <w:t>Organisation concernant l</w:t>
      </w:r>
      <w:r w:rsidR="00D67156" w:rsidRPr="00652D04">
        <w:rPr>
          <w:rFonts w:eastAsia="Times New Roman"/>
          <w:szCs w:val="22"/>
          <w:lang w:val="fr-FR" w:eastAsia="en-US"/>
        </w:rPr>
        <w:t>’</w:t>
      </w:r>
      <w:r w:rsidRPr="00652D04">
        <w:rPr>
          <w:rFonts w:eastAsia="Times New Roman"/>
          <w:szCs w:val="22"/>
          <w:lang w:val="fr-FR" w:eastAsia="en-US"/>
        </w:rPr>
        <w:t>ouverture de nouveaux bureaux et désireuse d</w:t>
      </w:r>
      <w:r w:rsidR="00D67156" w:rsidRPr="00652D04">
        <w:rPr>
          <w:rFonts w:eastAsia="Times New Roman"/>
          <w:szCs w:val="22"/>
          <w:lang w:val="fr-FR" w:eastAsia="en-US"/>
        </w:rPr>
        <w:t>’</w:t>
      </w:r>
      <w:r w:rsidRPr="00652D04">
        <w:rPr>
          <w:rFonts w:eastAsia="Times New Roman"/>
          <w:szCs w:val="22"/>
          <w:lang w:val="fr-FR" w:eastAsia="en-US"/>
        </w:rPr>
        <w:t>adopter une démarche progressive et prudente à cet égard, d</w:t>
      </w:r>
      <w:r w:rsidR="00D67156" w:rsidRPr="00652D04">
        <w:rPr>
          <w:rFonts w:eastAsia="Times New Roman"/>
          <w:szCs w:val="22"/>
          <w:lang w:val="fr-FR" w:eastAsia="en-US"/>
        </w:rPr>
        <w:t>’</w:t>
      </w:r>
      <w:r w:rsidRPr="00652D04">
        <w:rPr>
          <w:rFonts w:eastAsia="Times New Roman"/>
          <w:szCs w:val="22"/>
          <w:lang w:val="fr-FR" w:eastAsia="en-US"/>
        </w:rPr>
        <w:t>ouvrir trois</w:t>
      </w:r>
      <w:r w:rsidR="00B03A49" w:rsidRPr="00652D04">
        <w:rPr>
          <w:rFonts w:eastAsia="Times New Roman"/>
          <w:szCs w:val="22"/>
          <w:lang w:val="fr-FR" w:eastAsia="en-US"/>
        </w:rPr>
        <w:t> </w:t>
      </w:r>
      <w:r w:rsidRPr="00652D04">
        <w:rPr>
          <w:rFonts w:eastAsia="Times New Roman"/>
          <w:szCs w:val="22"/>
          <w:lang w:val="fr-FR" w:eastAsia="en-US"/>
        </w:rPr>
        <w:t>nouveaux bureaux extérieurs au plus par exercice biennal pour les exercices biennaux 2016</w:t>
      </w:r>
      <w:r w:rsidR="00E70920" w:rsidRPr="00652D04">
        <w:rPr>
          <w:rFonts w:eastAsia="Times New Roman"/>
          <w:szCs w:val="22"/>
          <w:lang w:val="fr-FR" w:eastAsia="en-US"/>
        </w:rPr>
        <w:noBreakHyphen/>
      </w:r>
      <w:r w:rsidRPr="00652D04">
        <w:rPr>
          <w:rFonts w:eastAsia="Times New Roman"/>
          <w:szCs w:val="22"/>
          <w:lang w:val="fr-FR" w:eastAsia="en-US"/>
        </w:rPr>
        <w:t>2017 et 2018</w:t>
      </w:r>
      <w:r w:rsidR="00E70920" w:rsidRPr="00652D04">
        <w:rPr>
          <w:rFonts w:eastAsia="Times New Roman"/>
          <w:szCs w:val="22"/>
          <w:lang w:val="fr-FR" w:eastAsia="en-US"/>
        </w:rPr>
        <w:noBreakHyphen/>
      </w:r>
      <w:r w:rsidRPr="00652D04">
        <w:rPr>
          <w:rFonts w:eastAsia="Times New Roman"/>
          <w:szCs w:val="22"/>
          <w:lang w:val="fr-FR" w:eastAsia="en-US"/>
        </w:rPr>
        <w:t>2019, sous réserve de l</w:t>
      </w:r>
      <w:r w:rsidR="00D67156" w:rsidRPr="00652D04">
        <w:rPr>
          <w:rFonts w:eastAsia="Times New Roman"/>
          <w:szCs w:val="22"/>
          <w:lang w:val="fr-FR" w:eastAsia="en-US"/>
        </w:rPr>
        <w:t>’</w:t>
      </w:r>
      <w:r w:rsidRPr="00652D04">
        <w:rPr>
          <w:rFonts w:eastAsia="Times New Roman"/>
          <w:szCs w:val="22"/>
          <w:lang w:val="fr-FR" w:eastAsia="en-US"/>
        </w:rPr>
        <w:t>approbation de l</w:t>
      </w:r>
      <w:r w:rsidR="00D67156" w:rsidRPr="00652D04">
        <w:rPr>
          <w:rFonts w:eastAsia="Times New Roman"/>
          <w:szCs w:val="22"/>
          <w:lang w:val="fr-FR" w:eastAsia="en-US"/>
        </w:rPr>
        <w:t>’</w:t>
      </w:r>
      <w:r w:rsidRPr="00652D04">
        <w:rPr>
          <w:rFonts w:eastAsia="Times New Roman"/>
          <w:szCs w:val="22"/>
          <w:lang w:val="fr-FR" w:eastAsia="en-US"/>
        </w:rPr>
        <w:t>Assemblée générale de l</w:t>
      </w:r>
      <w:r w:rsidR="00D67156" w:rsidRPr="00652D04">
        <w:rPr>
          <w:rFonts w:eastAsia="Times New Roman"/>
          <w:szCs w:val="22"/>
          <w:lang w:val="fr-FR" w:eastAsia="en-US"/>
        </w:rPr>
        <w:t>’</w:t>
      </w:r>
      <w:r w:rsidRPr="00652D04">
        <w:rPr>
          <w:rFonts w:eastAsia="Times New Roman"/>
          <w:szCs w:val="22"/>
          <w:lang w:val="fr-FR" w:eastAsia="en-US"/>
        </w:rPr>
        <w:t>OMPI.</w:t>
      </w:r>
    </w:p>
    <w:p w:rsidR="00D67156" w:rsidRPr="00652D04" w:rsidRDefault="00A60E7A" w:rsidP="00DD78D5">
      <w:pPr>
        <w:pStyle w:val="ONUMFS"/>
        <w:numPr>
          <w:ilvl w:val="0"/>
          <w:numId w:val="0"/>
        </w:numPr>
        <w:rPr>
          <w:rFonts w:eastAsia="Times New Roman"/>
          <w:szCs w:val="22"/>
          <w:lang w:val="fr-FR" w:eastAsia="en-US"/>
        </w:rPr>
      </w:pPr>
      <w:r w:rsidRPr="00652D04">
        <w:rPr>
          <w:rFonts w:eastAsia="Times New Roman"/>
          <w:szCs w:val="22"/>
          <w:lang w:val="fr-FR" w:eastAsia="en-US"/>
        </w:rPr>
        <w:t>3.</w:t>
      </w:r>
      <w:r w:rsidRPr="00652D04">
        <w:rPr>
          <w:rFonts w:eastAsia="Times New Roman"/>
          <w:szCs w:val="22"/>
          <w:lang w:val="fr-FR" w:eastAsia="en-US"/>
        </w:rPr>
        <w:tab/>
        <w:t>Cette décision est sans préjudice de toute décision</w:t>
      </w:r>
      <w:r w:rsidR="00D67156" w:rsidRPr="00652D04">
        <w:rPr>
          <w:rFonts w:eastAsia="Times New Roman"/>
          <w:szCs w:val="22"/>
          <w:lang w:val="fr-FR" w:eastAsia="en-US"/>
        </w:rPr>
        <w:t xml:space="preserve"> du PBC</w:t>
      </w:r>
      <w:r w:rsidRPr="00652D04">
        <w:rPr>
          <w:rFonts w:eastAsia="Times New Roman"/>
          <w:szCs w:val="22"/>
          <w:lang w:val="fr-FR" w:eastAsia="en-US"/>
        </w:rPr>
        <w:t xml:space="preserve"> et de l</w:t>
      </w:r>
      <w:r w:rsidR="00D67156" w:rsidRPr="00652D04">
        <w:rPr>
          <w:rFonts w:eastAsia="Times New Roman"/>
          <w:szCs w:val="22"/>
          <w:lang w:val="fr-FR" w:eastAsia="en-US"/>
        </w:rPr>
        <w:t>’</w:t>
      </w:r>
      <w:r w:rsidRPr="00652D04">
        <w:rPr>
          <w:rFonts w:eastAsia="Times New Roman"/>
          <w:szCs w:val="22"/>
          <w:lang w:val="fr-FR" w:eastAsia="en-US"/>
        </w:rPr>
        <w:t>Assemblée générale sur l</w:t>
      </w:r>
      <w:r w:rsidR="00D67156" w:rsidRPr="00652D04">
        <w:rPr>
          <w:rFonts w:eastAsia="Times New Roman"/>
          <w:szCs w:val="22"/>
          <w:lang w:val="fr-FR" w:eastAsia="en-US"/>
        </w:rPr>
        <w:t>’</w:t>
      </w:r>
      <w:r w:rsidRPr="00652D04">
        <w:rPr>
          <w:rFonts w:eastAsia="Times New Roman"/>
          <w:szCs w:val="22"/>
          <w:lang w:val="fr-FR" w:eastAsia="en-US"/>
        </w:rPr>
        <w:t>ouverture de nouveaux bureaux extérieurs conformément aux principes directeurs après une évaluation en</w:t>
      </w:r>
      <w:r w:rsidR="00B03A49" w:rsidRPr="00652D04">
        <w:rPr>
          <w:rFonts w:eastAsia="Times New Roman"/>
          <w:szCs w:val="22"/>
          <w:lang w:val="fr-FR" w:eastAsia="en-US"/>
        </w:rPr>
        <w:t> </w:t>
      </w:r>
      <w:r w:rsidRPr="00652D04">
        <w:rPr>
          <w:rFonts w:eastAsia="Times New Roman"/>
          <w:szCs w:val="22"/>
          <w:lang w:val="fr-FR" w:eastAsia="en-US"/>
        </w:rPr>
        <w:t>2021.</w:t>
      </w:r>
    </w:p>
    <w:p w:rsidR="000006CC" w:rsidRPr="00652D04" w:rsidRDefault="00A60E7A" w:rsidP="00DD78D5">
      <w:pPr>
        <w:pStyle w:val="ONUMFS"/>
        <w:numPr>
          <w:ilvl w:val="0"/>
          <w:numId w:val="0"/>
        </w:numPr>
        <w:rPr>
          <w:rFonts w:eastAsia="Times New Roman"/>
          <w:szCs w:val="22"/>
          <w:lang w:val="fr-FR" w:eastAsia="en-US"/>
        </w:rPr>
      </w:pPr>
      <w:r w:rsidRPr="00652D04">
        <w:rPr>
          <w:rFonts w:eastAsia="Times New Roman"/>
          <w:szCs w:val="22"/>
          <w:lang w:val="fr-FR" w:eastAsia="en-US"/>
        </w:rPr>
        <w:t>4.</w:t>
      </w:r>
      <w:r w:rsidRPr="00652D04">
        <w:rPr>
          <w:rFonts w:eastAsia="Times New Roman"/>
          <w:szCs w:val="22"/>
          <w:lang w:val="fr-FR" w:eastAsia="en-US"/>
        </w:rPr>
        <w:tab/>
        <w:t>Pour la période mentionnée au paragraphe</w:t>
      </w:r>
      <w:r w:rsidR="00B03A49" w:rsidRPr="00652D04">
        <w:rPr>
          <w:rFonts w:eastAsia="Times New Roman"/>
          <w:szCs w:val="22"/>
          <w:lang w:val="fr-FR" w:eastAsia="en-US"/>
        </w:rPr>
        <w:t> </w:t>
      </w:r>
      <w:r w:rsidRPr="00652D04">
        <w:rPr>
          <w:rFonts w:eastAsia="Times New Roman"/>
          <w:szCs w:val="22"/>
          <w:lang w:val="fr-FR" w:eastAsia="en-US"/>
        </w:rPr>
        <w:t>2, la priorité devrait être donnée à l</w:t>
      </w:r>
      <w:r w:rsidR="00D67156" w:rsidRPr="00652D04">
        <w:rPr>
          <w:rFonts w:eastAsia="Times New Roman"/>
          <w:szCs w:val="22"/>
          <w:lang w:val="fr-FR" w:eastAsia="en-US"/>
        </w:rPr>
        <w:t>’</w:t>
      </w:r>
      <w:r w:rsidRPr="00652D04">
        <w:rPr>
          <w:rFonts w:eastAsia="Times New Roman"/>
          <w:szCs w:val="22"/>
          <w:lang w:val="fr-FR" w:eastAsia="en-US"/>
        </w:rPr>
        <w:t>Afrique.</w:t>
      </w:r>
      <w:r w:rsidR="00B03A49" w:rsidRPr="00652D04">
        <w:rPr>
          <w:rFonts w:eastAsia="Times New Roman"/>
          <w:szCs w:val="22"/>
          <w:lang w:val="fr-FR" w:eastAsia="en-US"/>
        </w:rPr>
        <w:t xml:space="preserve"> </w:t>
      </w:r>
      <w:r w:rsidR="009E5F37" w:rsidRPr="00652D04">
        <w:rPr>
          <w:rFonts w:eastAsia="Times New Roman"/>
          <w:szCs w:val="22"/>
          <w:lang w:val="fr-FR" w:eastAsia="en-US"/>
        </w:rPr>
        <w:t xml:space="preserve"> </w:t>
      </w:r>
      <w:r w:rsidRPr="00652D04">
        <w:rPr>
          <w:rFonts w:eastAsia="Times New Roman"/>
          <w:szCs w:val="22"/>
          <w:lang w:val="fr-FR" w:eastAsia="en-US"/>
        </w:rPr>
        <w:t>À</w:t>
      </w:r>
      <w:r w:rsidR="001E18DD" w:rsidRPr="00652D04">
        <w:rPr>
          <w:rFonts w:eastAsia="Times New Roman"/>
          <w:szCs w:val="22"/>
          <w:lang w:val="fr-FR" w:eastAsia="en-US"/>
        </w:rPr>
        <w:t> </w:t>
      </w:r>
      <w:r w:rsidRPr="00652D04">
        <w:rPr>
          <w:rFonts w:eastAsia="Times New Roman"/>
          <w:szCs w:val="22"/>
          <w:lang w:val="fr-FR" w:eastAsia="en-US"/>
        </w:rPr>
        <w:t>cette fin, les États membres sont encouragés à soumettre leurs propositions d</w:t>
      </w:r>
      <w:r w:rsidR="00D67156" w:rsidRPr="00652D04">
        <w:rPr>
          <w:rFonts w:eastAsia="Times New Roman"/>
          <w:szCs w:val="22"/>
          <w:lang w:val="fr-FR" w:eastAsia="en-US"/>
        </w:rPr>
        <w:t>’</w:t>
      </w:r>
      <w:r w:rsidRPr="00652D04">
        <w:rPr>
          <w:rFonts w:eastAsia="Times New Roman"/>
          <w:szCs w:val="22"/>
          <w:lang w:val="fr-FR" w:eastAsia="en-US"/>
        </w:rPr>
        <w:t>accueil, qui seront examinées au regard des principes directeurs.</w:t>
      </w:r>
    </w:p>
    <w:p w:rsidR="000006CC" w:rsidRPr="00652D04" w:rsidRDefault="000006CC">
      <w:pPr>
        <w:rPr>
          <w:lang w:val="fr-FR" w:eastAsia="en-US"/>
        </w:rPr>
      </w:pPr>
    </w:p>
    <w:p w:rsidR="000006CC" w:rsidRPr="00652D04" w:rsidRDefault="00A60E7A" w:rsidP="00DD78D5">
      <w:pPr>
        <w:jc w:val="center"/>
        <w:rPr>
          <w:lang w:val="fr-FR" w:eastAsia="en-US"/>
        </w:rPr>
      </w:pPr>
      <w:r w:rsidRPr="00652D04">
        <w:rPr>
          <w:lang w:val="fr-FR" w:eastAsia="en-US"/>
        </w:rPr>
        <w:t>ANNEXE</w:t>
      </w:r>
    </w:p>
    <w:p w:rsidR="000006CC" w:rsidRPr="00652D04" w:rsidRDefault="000006CC" w:rsidP="00DD78D5">
      <w:pPr>
        <w:jc w:val="center"/>
        <w:rPr>
          <w:lang w:val="fr-FR" w:eastAsia="en-US"/>
        </w:rPr>
      </w:pPr>
    </w:p>
    <w:p w:rsidR="000006CC" w:rsidRPr="00652D04" w:rsidRDefault="000006CC" w:rsidP="00DD78D5">
      <w:pPr>
        <w:jc w:val="center"/>
        <w:rPr>
          <w:lang w:val="fr-FR" w:eastAsia="en-US"/>
        </w:rPr>
      </w:pPr>
    </w:p>
    <w:p w:rsidR="000006CC" w:rsidRPr="00652D04" w:rsidRDefault="00A60E7A" w:rsidP="00DD78D5">
      <w:pPr>
        <w:jc w:val="center"/>
        <w:rPr>
          <w:b/>
          <w:szCs w:val="28"/>
          <w:lang w:val="fr-FR" w:eastAsia="en-US"/>
        </w:rPr>
      </w:pPr>
      <w:r w:rsidRPr="00652D04">
        <w:rPr>
          <w:b/>
          <w:szCs w:val="28"/>
          <w:lang w:val="fr-FR" w:eastAsia="en-US"/>
        </w:rPr>
        <w:t>Principes directeurs concernant les bureaux extérieurs de l</w:t>
      </w:r>
      <w:r w:rsidR="00D67156" w:rsidRPr="00652D04">
        <w:rPr>
          <w:b/>
          <w:szCs w:val="28"/>
          <w:lang w:val="fr-FR" w:eastAsia="en-US"/>
        </w:rPr>
        <w:t>’</w:t>
      </w:r>
      <w:r w:rsidRPr="00652D04">
        <w:rPr>
          <w:b/>
          <w:szCs w:val="28"/>
          <w:lang w:val="fr-FR" w:eastAsia="en-US"/>
        </w:rPr>
        <w:t>OMPI</w:t>
      </w:r>
    </w:p>
    <w:p w:rsidR="000006CC" w:rsidRPr="00652D04" w:rsidRDefault="000006CC" w:rsidP="00DD78D5">
      <w:pPr>
        <w:jc w:val="center"/>
        <w:rPr>
          <w:szCs w:val="22"/>
          <w:lang w:val="fr-FR" w:eastAsia="en-US"/>
        </w:rPr>
      </w:pPr>
    </w:p>
    <w:p w:rsidR="000006CC" w:rsidRPr="00652D04" w:rsidRDefault="000006CC" w:rsidP="00DD78D5">
      <w:pPr>
        <w:jc w:val="center"/>
        <w:rPr>
          <w:szCs w:val="22"/>
          <w:lang w:val="fr-FR"/>
        </w:rPr>
      </w:pPr>
    </w:p>
    <w:p w:rsidR="000006CC" w:rsidRPr="00652D04" w:rsidRDefault="00A60E7A" w:rsidP="00DD78D5">
      <w:pPr>
        <w:pStyle w:val="ONUMFS"/>
        <w:rPr>
          <w:lang w:val="fr-FR"/>
        </w:rPr>
      </w:pPr>
      <w:r w:rsidRPr="00652D04">
        <w:rPr>
          <w:lang w:val="fr-FR"/>
        </w:rPr>
        <w:t>Les principes ci</w:t>
      </w:r>
      <w:r w:rsidR="00E70920" w:rsidRPr="00652D04">
        <w:rPr>
          <w:lang w:val="fr-FR"/>
        </w:rPr>
        <w:noBreakHyphen/>
      </w:r>
      <w:r w:rsidRPr="00652D04">
        <w:rPr>
          <w:lang w:val="fr-FR"/>
        </w:rPr>
        <w:t>après orienteront l</w:t>
      </w:r>
      <w:r w:rsidR="00D67156" w:rsidRPr="00652D04">
        <w:rPr>
          <w:lang w:val="fr-FR"/>
        </w:rPr>
        <w:t>’</w:t>
      </w:r>
      <w:r w:rsidRPr="00652D04">
        <w:rPr>
          <w:lang w:val="fr-FR"/>
        </w:rPr>
        <w:t>action du Secrétariat de l</w:t>
      </w:r>
      <w:r w:rsidR="00D67156" w:rsidRPr="00652D04">
        <w:rPr>
          <w:lang w:val="fr-FR"/>
        </w:rPr>
        <w:t>’</w:t>
      </w:r>
      <w:r w:rsidRPr="00652D04">
        <w:rPr>
          <w:lang w:val="fr-FR"/>
        </w:rPr>
        <w:t>OMPI et le processus de décision des États membres concernant l</w:t>
      </w:r>
      <w:r w:rsidR="00D67156" w:rsidRPr="00652D04">
        <w:rPr>
          <w:lang w:val="fr-FR"/>
        </w:rPr>
        <w:t>’</w:t>
      </w:r>
      <w:r w:rsidRPr="00652D04">
        <w:rPr>
          <w:lang w:val="fr-FR"/>
        </w:rPr>
        <w:t>établissement d</w:t>
      </w:r>
      <w:r w:rsidR="00D67156" w:rsidRPr="00652D04">
        <w:rPr>
          <w:lang w:val="fr-FR"/>
        </w:rPr>
        <w:t>’</w:t>
      </w:r>
      <w:r w:rsidRPr="00652D04">
        <w:rPr>
          <w:lang w:val="fr-FR"/>
        </w:rPr>
        <w:t>un réseau de bureaux extérieurs de l</w:t>
      </w:r>
      <w:r w:rsidR="00D67156" w:rsidRPr="00652D04">
        <w:rPr>
          <w:lang w:val="fr-FR"/>
        </w:rPr>
        <w:t>’</w:t>
      </w:r>
      <w:r w:rsidRPr="00652D04">
        <w:rPr>
          <w:lang w:val="fr-FR"/>
        </w:rPr>
        <w:t>OMPI viable, de taille adéquate, qui apporte clairement une valeur ajoutée à l</w:t>
      </w:r>
      <w:r w:rsidR="00D67156" w:rsidRPr="00652D04">
        <w:rPr>
          <w:lang w:val="fr-FR"/>
        </w:rPr>
        <w:t>’</w:t>
      </w:r>
      <w:r w:rsidRPr="00652D04">
        <w:rPr>
          <w:lang w:val="fr-FR"/>
        </w:rPr>
        <w:t xml:space="preserve">exécution des programmes conformément au cadre de résultats proposé dans le programme et budget et </w:t>
      </w:r>
      <w:r w:rsidRPr="00652D04">
        <w:rPr>
          <w:lang w:val="fr-FR"/>
        </w:rPr>
        <w:lastRenderedPageBreak/>
        <w:t>accroisse leur caractère rationnel et leur efficacité, en coordination et en parfaite complémentarité avec le siège de l</w:t>
      </w:r>
      <w:r w:rsidR="00D67156" w:rsidRPr="00652D04">
        <w:rPr>
          <w:lang w:val="fr-FR"/>
        </w:rPr>
        <w:t>’</w:t>
      </w:r>
      <w:r w:rsidRPr="00652D04">
        <w:rPr>
          <w:lang w:val="fr-FR"/>
        </w:rPr>
        <w:t>OMPI et d</w:t>
      </w:r>
      <w:r w:rsidR="00D67156" w:rsidRPr="00652D04">
        <w:rPr>
          <w:lang w:val="fr-FR"/>
        </w:rPr>
        <w:t>’</w:t>
      </w:r>
      <w:r w:rsidRPr="00652D04">
        <w:rPr>
          <w:lang w:val="fr-FR"/>
        </w:rPr>
        <w:t>une manière qui n</w:t>
      </w:r>
      <w:r w:rsidR="00D67156" w:rsidRPr="00652D04">
        <w:rPr>
          <w:lang w:val="fr-FR"/>
        </w:rPr>
        <w:t>’</w:t>
      </w:r>
      <w:r w:rsidRPr="00652D04">
        <w:rPr>
          <w:lang w:val="fr-FR"/>
        </w:rPr>
        <w:t>aurait pas été possible au moyen des opérations menées uniquement au siège.</w:t>
      </w:r>
    </w:p>
    <w:p w:rsidR="00D67156" w:rsidRPr="00652D04" w:rsidRDefault="00DD78D5" w:rsidP="00DD78D5">
      <w:pPr>
        <w:ind w:left="567" w:hanging="567"/>
        <w:rPr>
          <w:b/>
          <w:lang w:val="fr-FR"/>
        </w:rPr>
      </w:pPr>
      <w:r w:rsidRPr="00652D04">
        <w:rPr>
          <w:b/>
          <w:lang w:val="fr-FR"/>
        </w:rPr>
        <w:t>A.</w:t>
      </w:r>
      <w:r w:rsidRPr="00652D04">
        <w:rPr>
          <w:b/>
          <w:lang w:val="fr-FR"/>
        </w:rPr>
        <w:tab/>
      </w:r>
      <w:r w:rsidR="00A60E7A" w:rsidRPr="00652D04">
        <w:rPr>
          <w:b/>
          <w:lang w:val="fr-FR"/>
        </w:rPr>
        <w:t>Transparence des procédures et du processus de décision des États membres concernant l</w:t>
      </w:r>
      <w:r w:rsidR="00D67156" w:rsidRPr="00652D04">
        <w:rPr>
          <w:b/>
          <w:lang w:val="fr-FR"/>
        </w:rPr>
        <w:t>’</w:t>
      </w:r>
      <w:r w:rsidR="00A60E7A" w:rsidRPr="00652D04">
        <w:rPr>
          <w:b/>
          <w:lang w:val="fr-FR"/>
        </w:rPr>
        <w:t>ouverture de nouveaux bureaux extérieurs</w:t>
      </w:r>
    </w:p>
    <w:p w:rsidR="000006CC" w:rsidRPr="00652D04" w:rsidRDefault="000006CC" w:rsidP="00DD78D5">
      <w:pPr>
        <w:rPr>
          <w:b/>
          <w:szCs w:val="22"/>
          <w:lang w:val="fr-FR"/>
        </w:rPr>
      </w:pPr>
    </w:p>
    <w:p w:rsidR="000006CC" w:rsidRPr="00652D04" w:rsidRDefault="00A60E7A" w:rsidP="00DD78D5">
      <w:pPr>
        <w:pStyle w:val="ONUMFS"/>
        <w:rPr>
          <w:lang w:val="fr-FR"/>
        </w:rPr>
      </w:pPr>
      <w:r w:rsidRPr="00652D04">
        <w:rPr>
          <w:lang w:val="fr-FR"/>
        </w:rPr>
        <w:t>Tout État membre qui souhaite accueillir un bureau extérieur en sa capacité nationale, ou au nom d</w:t>
      </w:r>
      <w:r w:rsidR="00D67156" w:rsidRPr="00652D04">
        <w:rPr>
          <w:lang w:val="fr-FR"/>
        </w:rPr>
        <w:t>’</w:t>
      </w:r>
      <w:r w:rsidRPr="00652D04">
        <w:rPr>
          <w:lang w:val="fr-FR"/>
        </w:rPr>
        <w:t>un groupe de pays ou d</w:t>
      </w:r>
      <w:r w:rsidR="00D67156" w:rsidRPr="00652D04">
        <w:rPr>
          <w:lang w:val="fr-FR"/>
        </w:rPr>
        <w:t>’</w:t>
      </w:r>
      <w:r w:rsidRPr="00652D04">
        <w:rPr>
          <w:lang w:val="fr-FR"/>
        </w:rPr>
        <w:t>un groupe régional, s</w:t>
      </w:r>
      <w:r w:rsidR="00D67156" w:rsidRPr="00652D04">
        <w:rPr>
          <w:lang w:val="fr-FR"/>
        </w:rPr>
        <w:t>’</w:t>
      </w:r>
      <w:r w:rsidRPr="00652D04">
        <w:rPr>
          <w:lang w:val="fr-FR"/>
        </w:rPr>
        <w:t>il en est décidé ainsi par ses membres, en informe la présidente de l</w:t>
      </w:r>
      <w:r w:rsidR="00D67156" w:rsidRPr="00652D04">
        <w:rPr>
          <w:lang w:val="fr-FR"/>
        </w:rPr>
        <w:t>’</w:t>
      </w:r>
      <w:r w:rsidRPr="00652D04">
        <w:rPr>
          <w:lang w:val="fr-FR"/>
        </w:rPr>
        <w:t>Assemblée générale et le Directeur général par écr</w:t>
      </w:r>
      <w:r w:rsidR="00E70920" w:rsidRPr="00652D04">
        <w:rPr>
          <w:lang w:val="fr-FR"/>
        </w:rPr>
        <w:t>it.  La</w:t>
      </w:r>
      <w:r w:rsidRPr="00652D04">
        <w:rPr>
          <w:lang w:val="fr-FR"/>
        </w:rPr>
        <w:t xml:space="preserve"> présidente de l</w:t>
      </w:r>
      <w:r w:rsidR="00D67156" w:rsidRPr="00652D04">
        <w:rPr>
          <w:lang w:val="fr-FR"/>
        </w:rPr>
        <w:t>’</w:t>
      </w:r>
      <w:r w:rsidRPr="00652D04">
        <w:rPr>
          <w:lang w:val="fr-FR"/>
        </w:rPr>
        <w:t>Assemblée générale avise les États membres sans délai de la réception d</w:t>
      </w:r>
      <w:r w:rsidR="00D67156" w:rsidRPr="00652D04">
        <w:rPr>
          <w:lang w:val="fr-FR"/>
        </w:rPr>
        <w:t>’</w:t>
      </w:r>
      <w:r w:rsidRPr="00652D04">
        <w:rPr>
          <w:lang w:val="fr-FR"/>
        </w:rPr>
        <w:t>une telle notificati</w:t>
      </w:r>
      <w:r w:rsidR="00E70920" w:rsidRPr="00652D04">
        <w:rPr>
          <w:lang w:val="fr-FR"/>
        </w:rPr>
        <w:t>on.  Le</w:t>
      </w:r>
      <w:r w:rsidRPr="00652D04">
        <w:rPr>
          <w:lang w:val="fr-FR"/>
        </w:rPr>
        <w:t xml:space="preserve"> présent paragraphe ne s</w:t>
      </w:r>
      <w:r w:rsidR="00D67156" w:rsidRPr="00652D04">
        <w:rPr>
          <w:lang w:val="fr-FR"/>
        </w:rPr>
        <w:t>’</w:t>
      </w:r>
      <w:r w:rsidRPr="00652D04">
        <w:rPr>
          <w:lang w:val="fr-FR"/>
        </w:rPr>
        <w:t>applique pas aux États membres qui ont déjà déposé une notification écrite, en leur capacité nationale, ou au nom d</w:t>
      </w:r>
      <w:r w:rsidR="00D67156" w:rsidRPr="00652D04">
        <w:rPr>
          <w:lang w:val="fr-FR"/>
        </w:rPr>
        <w:t>’</w:t>
      </w:r>
      <w:r w:rsidRPr="00652D04">
        <w:rPr>
          <w:lang w:val="fr-FR"/>
        </w:rPr>
        <w:t>un groupe de pays ou d</w:t>
      </w:r>
      <w:r w:rsidR="00D67156" w:rsidRPr="00652D04">
        <w:rPr>
          <w:lang w:val="fr-FR"/>
        </w:rPr>
        <w:t>’</w:t>
      </w:r>
      <w:r w:rsidRPr="00652D04">
        <w:rPr>
          <w:lang w:val="fr-FR"/>
        </w:rPr>
        <w:t>un groupe régional.</w:t>
      </w:r>
    </w:p>
    <w:p w:rsidR="00D67156" w:rsidRPr="00652D04" w:rsidRDefault="00A60E7A" w:rsidP="00DD78D5">
      <w:pPr>
        <w:pStyle w:val="ONUMFS"/>
        <w:rPr>
          <w:lang w:val="fr-FR"/>
        </w:rPr>
      </w:pPr>
      <w:r w:rsidRPr="00652D04">
        <w:rPr>
          <w:lang w:val="fr-FR"/>
        </w:rPr>
        <w:t>Tout État membre souhaitant accueillir un bureau extérieur en sa capacité nationale, ou au nom d</w:t>
      </w:r>
      <w:r w:rsidR="00D67156" w:rsidRPr="00652D04">
        <w:rPr>
          <w:lang w:val="fr-FR"/>
        </w:rPr>
        <w:t>’</w:t>
      </w:r>
      <w:r w:rsidRPr="00652D04">
        <w:rPr>
          <w:lang w:val="fr-FR"/>
        </w:rPr>
        <w:t>un groupe de pays ou d</w:t>
      </w:r>
      <w:r w:rsidR="00D67156" w:rsidRPr="00652D04">
        <w:rPr>
          <w:lang w:val="fr-FR"/>
        </w:rPr>
        <w:t>’</w:t>
      </w:r>
      <w:r w:rsidRPr="00652D04">
        <w:rPr>
          <w:lang w:val="fr-FR"/>
        </w:rPr>
        <w:t>un groupe régional, s</w:t>
      </w:r>
      <w:r w:rsidR="00D67156" w:rsidRPr="00652D04">
        <w:rPr>
          <w:lang w:val="fr-FR"/>
        </w:rPr>
        <w:t>’</w:t>
      </w:r>
      <w:r w:rsidRPr="00652D04">
        <w:rPr>
          <w:lang w:val="fr-FR"/>
        </w:rPr>
        <w:t>il en est décidé ainsi par ses membres, soumet par l</w:t>
      </w:r>
      <w:r w:rsidR="00D67156" w:rsidRPr="00652D04">
        <w:rPr>
          <w:lang w:val="fr-FR"/>
        </w:rPr>
        <w:t>’</w:t>
      </w:r>
      <w:r w:rsidRPr="00652D04">
        <w:rPr>
          <w:lang w:val="fr-FR"/>
        </w:rPr>
        <w:t>intermédiaire du Directeur général une proposition pour examen par le Comité du programme et budget (PBC).</w:t>
      </w:r>
      <w:r w:rsidR="009E5F37" w:rsidRPr="00652D04">
        <w:rPr>
          <w:lang w:val="fr-FR"/>
        </w:rPr>
        <w:t xml:space="preserve"> </w:t>
      </w:r>
      <w:r w:rsidR="00B03A49" w:rsidRPr="00652D04">
        <w:rPr>
          <w:lang w:val="fr-FR"/>
        </w:rPr>
        <w:t xml:space="preserve"> </w:t>
      </w:r>
      <w:r w:rsidRPr="00652D04">
        <w:rPr>
          <w:lang w:val="fr-FR"/>
        </w:rPr>
        <w:t>L</w:t>
      </w:r>
      <w:r w:rsidR="00D67156" w:rsidRPr="00652D04">
        <w:rPr>
          <w:lang w:val="fr-FR"/>
        </w:rPr>
        <w:t>’</w:t>
      </w:r>
      <w:r w:rsidRPr="00652D04">
        <w:rPr>
          <w:lang w:val="fr-FR"/>
        </w:rPr>
        <w:t>État membre peut solliciter l</w:t>
      </w:r>
      <w:r w:rsidR="00D67156" w:rsidRPr="00652D04">
        <w:rPr>
          <w:lang w:val="fr-FR"/>
        </w:rPr>
        <w:t>’</w:t>
      </w:r>
      <w:r w:rsidRPr="00652D04">
        <w:rPr>
          <w:lang w:val="fr-FR"/>
        </w:rPr>
        <w:t>assistance du Secrétariat pour établir cette propositi</w:t>
      </w:r>
      <w:r w:rsidR="00E70920" w:rsidRPr="00652D04">
        <w:rPr>
          <w:lang w:val="fr-FR"/>
        </w:rPr>
        <w:t>on.  Le</w:t>
      </w:r>
      <w:r w:rsidRPr="00652D04">
        <w:rPr>
          <w:lang w:val="fr-FR"/>
        </w:rPr>
        <w:t xml:space="preserve"> Secrétariat transmet</w:t>
      </w:r>
      <w:r w:rsidR="00D67156" w:rsidRPr="00652D04">
        <w:rPr>
          <w:lang w:val="fr-FR"/>
        </w:rPr>
        <w:t xml:space="preserve"> au PBC</w:t>
      </w:r>
      <w:r w:rsidRPr="00652D04">
        <w:rPr>
          <w:lang w:val="fr-FR"/>
        </w:rPr>
        <w:t xml:space="preserve"> la notification et la proposition reçues de l</w:t>
      </w:r>
      <w:r w:rsidR="00D67156" w:rsidRPr="00652D04">
        <w:rPr>
          <w:lang w:val="fr-FR"/>
        </w:rPr>
        <w:t>’</w:t>
      </w:r>
      <w:r w:rsidRPr="00652D04">
        <w:rPr>
          <w:lang w:val="fr-FR"/>
        </w:rPr>
        <w:t>État membre.</w:t>
      </w:r>
    </w:p>
    <w:p w:rsidR="000006CC" w:rsidRPr="00652D04" w:rsidRDefault="00A60E7A" w:rsidP="0027422B">
      <w:pPr>
        <w:pStyle w:val="ONUMFS"/>
        <w:numPr>
          <w:ilvl w:val="0"/>
          <w:numId w:val="0"/>
        </w:numPr>
        <w:rPr>
          <w:lang w:val="fr-FR"/>
        </w:rPr>
      </w:pPr>
      <w:r w:rsidRPr="00652D04">
        <w:rPr>
          <w:lang w:val="fr-FR"/>
        </w:rPr>
        <w:t>3</w:t>
      </w:r>
      <w:r w:rsidRPr="00652D04">
        <w:rPr>
          <w:i/>
          <w:lang w:val="fr-FR"/>
        </w:rPr>
        <w:t>b</w:t>
      </w:r>
      <w:r w:rsidR="00E70920" w:rsidRPr="00652D04">
        <w:rPr>
          <w:i/>
          <w:lang w:val="fr-FR"/>
        </w:rPr>
        <w:t xml:space="preserve">is.  </w:t>
      </w:r>
      <w:r w:rsidR="00E70920" w:rsidRPr="00652D04">
        <w:rPr>
          <w:lang w:val="fr-FR"/>
        </w:rPr>
        <w:t>Le</w:t>
      </w:r>
      <w:r w:rsidRPr="00652D04">
        <w:rPr>
          <w:lang w:val="fr-FR"/>
        </w:rPr>
        <w:t xml:space="preserve"> Secrétariat présente</w:t>
      </w:r>
      <w:r w:rsidR="00D67156" w:rsidRPr="00652D04">
        <w:rPr>
          <w:lang w:val="fr-FR"/>
        </w:rPr>
        <w:t xml:space="preserve"> au PBC</w:t>
      </w:r>
      <w:r w:rsidRPr="00652D04">
        <w:rPr>
          <w:lang w:val="fr-FR"/>
        </w:rPr>
        <w:t xml:space="preserve"> un rapport distinct, factuel et technique sur le nouveau bureau extérieur proposé et sa conformité avec les présents principes directeu</w:t>
      </w:r>
      <w:r w:rsidR="00E70920" w:rsidRPr="00652D04">
        <w:rPr>
          <w:lang w:val="fr-FR"/>
        </w:rPr>
        <w:t>rs.  Le</w:t>
      </w:r>
      <w:r w:rsidR="0027422B" w:rsidRPr="00652D04">
        <w:rPr>
          <w:lang w:val="fr-FR"/>
        </w:rPr>
        <w:t xml:space="preserve"> document doit aussi contenir des informations en rapport avec l</w:t>
      </w:r>
      <w:r w:rsidR="00D67156" w:rsidRPr="00652D04">
        <w:rPr>
          <w:lang w:val="fr-FR"/>
        </w:rPr>
        <w:t>’</w:t>
      </w:r>
      <w:r w:rsidR="0027422B" w:rsidRPr="00652D04">
        <w:rPr>
          <w:lang w:val="fr-FR"/>
        </w:rPr>
        <w:t>examen des paragraphes</w:t>
      </w:r>
      <w:r w:rsidR="00B03A49" w:rsidRPr="00652D04">
        <w:rPr>
          <w:lang w:val="fr-FR"/>
        </w:rPr>
        <w:t> </w:t>
      </w:r>
      <w:r w:rsidR="0027422B" w:rsidRPr="00652D04">
        <w:rPr>
          <w:lang w:val="fr-FR"/>
        </w:rPr>
        <w:t>10</w:t>
      </w:r>
      <w:r w:rsidR="0027422B" w:rsidRPr="00652D04">
        <w:rPr>
          <w:i/>
          <w:lang w:val="fr-FR"/>
        </w:rPr>
        <w:t>bis</w:t>
      </w:r>
      <w:r w:rsidR="00816E56" w:rsidRPr="00652D04">
        <w:rPr>
          <w:lang w:val="fr-FR"/>
        </w:rPr>
        <w:t xml:space="preserve"> et </w:t>
      </w:r>
      <w:r w:rsidR="0027422B" w:rsidRPr="00652D04">
        <w:rPr>
          <w:lang w:val="fr-FR"/>
        </w:rPr>
        <w:t>17.  Le PBC examine la proposition et le document en vue de toute recommandation à l</w:t>
      </w:r>
      <w:r w:rsidR="00D67156" w:rsidRPr="00652D04">
        <w:rPr>
          <w:lang w:val="fr-FR"/>
        </w:rPr>
        <w:t>’</w:t>
      </w:r>
      <w:r w:rsidR="0027422B" w:rsidRPr="00652D04">
        <w:rPr>
          <w:lang w:val="fr-FR"/>
        </w:rPr>
        <w:t>Assemblée générale.</w:t>
      </w:r>
    </w:p>
    <w:p w:rsidR="000006CC" w:rsidRPr="00652D04" w:rsidRDefault="00A60E7A" w:rsidP="00DD78D5">
      <w:pPr>
        <w:pStyle w:val="ONUMFS"/>
        <w:rPr>
          <w:lang w:val="fr-FR"/>
        </w:rPr>
      </w:pPr>
      <w:r w:rsidRPr="00652D04">
        <w:rPr>
          <w:lang w:val="fr-FR"/>
        </w:rPr>
        <w:t>L</w:t>
      </w:r>
      <w:r w:rsidR="00D67156" w:rsidRPr="00652D04">
        <w:rPr>
          <w:lang w:val="fr-FR"/>
        </w:rPr>
        <w:t>’</w:t>
      </w:r>
      <w:r w:rsidRPr="00652D04">
        <w:rPr>
          <w:lang w:val="fr-FR"/>
        </w:rPr>
        <w:t>Assemblée générale examine le rapport</w:t>
      </w:r>
      <w:r w:rsidR="00D67156" w:rsidRPr="00652D04">
        <w:rPr>
          <w:lang w:val="fr-FR"/>
        </w:rPr>
        <w:t xml:space="preserve"> du PBC</w:t>
      </w:r>
      <w:r w:rsidRPr="00652D04">
        <w:rPr>
          <w:lang w:val="fr-FR"/>
        </w:rPr>
        <w:t>, en tenant compte des recommandations, en vue de prendre une décision finale sur l</w:t>
      </w:r>
      <w:r w:rsidR="00D67156" w:rsidRPr="00652D04">
        <w:rPr>
          <w:lang w:val="fr-FR"/>
        </w:rPr>
        <w:t>’</w:t>
      </w:r>
      <w:r w:rsidRPr="00652D04">
        <w:rPr>
          <w:lang w:val="fr-FR"/>
        </w:rPr>
        <w:t>ouverture du nouveau bureau extérieur.</w:t>
      </w:r>
    </w:p>
    <w:p w:rsidR="000006CC" w:rsidRPr="00652D04" w:rsidRDefault="00A60E7A" w:rsidP="00DD78D5">
      <w:pPr>
        <w:pStyle w:val="ONUMFS"/>
        <w:rPr>
          <w:lang w:val="fr-FR"/>
        </w:rPr>
      </w:pPr>
      <w:r w:rsidRPr="00652D04">
        <w:rPr>
          <w:lang w:val="fr-FR"/>
        </w:rPr>
        <w:t>Si l</w:t>
      </w:r>
      <w:r w:rsidR="00D67156" w:rsidRPr="00652D04">
        <w:rPr>
          <w:lang w:val="fr-FR"/>
        </w:rPr>
        <w:t>’</w:t>
      </w:r>
      <w:r w:rsidRPr="00652D04">
        <w:rPr>
          <w:lang w:val="fr-FR"/>
        </w:rPr>
        <w:t>Assemblée générale approuve l</w:t>
      </w:r>
      <w:r w:rsidR="00D67156" w:rsidRPr="00652D04">
        <w:rPr>
          <w:lang w:val="fr-FR"/>
        </w:rPr>
        <w:t>’</w:t>
      </w:r>
      <w:r w:rsidRPr="00652D04">
        <w:rPr>
          <w:lang w:val="fr-FR"/>
        </w:rPr>
        <w:t>ouverture d</w:t>
      </w:r>
      <w:r w:rsidR="00D67156" w:rsidRPr="00652D04">
        <w:rPr>
          <w:lang w:val="fr-FR"/>
        </w:rPr>
        <w:t>’</w:t>
      </w:r>
      <w:r w:rsidRPr="00652D04">
        <w:rPr>
          <w:lang w:val="fr-FR"/>
        </w:rPr>
        <w:t>un nouveau bureau extérieur, le Comité de coordination examine pour approbation un projet d</w:t>
      </w:r>
      <w:r w:rsidR="00D67156" w:rsidRPr="00652D04">
        <w:rPr>
          <w:lang w:val="fr-FR"/>
        </w:rPr>
        <w:t>’</w:t>
      </w:r>
      <w:r w:rsidRPr="00652D04">
        <w:rPr>
          <w:lang w:val="fr-FR"/>
        </w:rPr>
        <w:t>accord entre le Directeur général, au nom de l</w:t>
      </w:r>
      <w:r w:rsidR="00D67156" w:rsidRPr="00652D04">
        <w:rPr>
          <w:lang w:val="fr-FR"/>
        </w:rPr>
        <w:t>’</w:t>
      </w:r>
      <w:r w:rsidRPr="00652D04">
        <w:rPr>
          <w:lang w:val="fr-FR"/>
        </w:rPr>
        <w:t>OMPI, et le pays hôte, conformément à l</w:t>
      </w:r>
      <w:r w:rsidR="00D67156" w:rsidRPr="00652D04">
        <w:rPr>
          <w:lang w:val="fr-FR"/>
        </w:rPr>
        <w:t>’</w:t>
      </w:r>
      <w:r w:rsidRPr="00652D04">
        <w:rPr>
          <w:lang w:val="fr-FR"/>
        </w:rPr>
        <w:t>article</w:t>
      </w:r>
      <w:r w:rsidR="00B03A49" w:rsidRPr="00652D04">
        <w:rPr>
          <w:lang w:val="fr-FR"/>
        </w:rPr>
        <w:t> </w:t>
      </w:r>
      <w:r w:rsidRPr="00652D04">
        <w:rPr>
          <w:lang w:val="fr-FR"/>
        </w:rPr>
        <w:t>12 de la Convention instituant l</w:t>
      </w:r>
      <w:r w:rsidR="00D67156" w:rsidRPr="00652D04">
        <w:rPr>
          <w:lang w:val="fr-FR"/>
        </w:rPr>
        <w:t>’</w:t>
      </w:r>
      <w:r w:rsidRPr="00652D04">
        <w:rPr>
          <w:lang w:val="fr-FR"/>
        </w:rPr>
        <w:t>OMPI.</w:t>
      </w:r>
    </w:p>
    <w:p w:rsidR="000006CC" w:rsidRPr="00652D04" w:rsidRDefault="00A60E7A" w:rsidP="00DD78D5">
      <w:pPr>
        <w:rPr>
          <w:b/>
          <w:lang w:val="fr-FR"/>
        </w:rPr>
      </w:pPr>
      <w:r w:rsidRPr="00652D04">
        <w:rPr>
          <w:b/>
          <w:lang w:val="fr-FR"/>
        </w:rPr>
        <w:t>B.</w:t>
      </w:r>
      <w:r w:rsidRPr="00652D04">
        <w:rPr>
          <w:b/>
          <w:lang w:val="fr-FR"/>
        </w:rPr>
        <w:tab/>
        <w:t>Justification de l</w:t>
      </w:r>
      <w:r w:rsidR="00D67156" w:rsidRPr="00652D04">
        <w:rPr>
          <w:b/>
          <w:lang w:val="fr-FR"/>
        </w:rPr>
        <w:t>’</w:t>
      </w:r>
      <w:r w:rsidRPr="00652D04">
        <w:rPr>
          <w:b/>
          <w:lang w:val="fr-FR"/>
        </w:rPr>
        <w:t>ouverture de bureaux extérieurs</w:t>
      </w:r>
    </w:p>
    <w:p w:rsidR="000006CC" w:rsidRPr="00652D04" w:rsidRDefault="000006CC" w:rsidP="00DD78D5">
      <w:pPr>
        <w:rPr>
          <w:lang w:val="fr-FR"/>
        </w:rPr>
      </w:pPr>
    </w:p>
    <w:p w:rsidR="000006CC" w:rsidRPr="00652D04" w:rsidRDefault="00A60E7A" w:rsidP="00DD78D5">
      <w:pPr>
        <w:pStyle w:val="ONUMFS"/>
        <w:rPr>
          <w:lang w:val="fr-FR"/>
        </w:rPr>
      </w:pPr>
      <w:r w:rsidRPr="00652D04">
        <w:rPr>
          <w:lang w:val="fr-FR"/>
        </w:rPr>
        <w:t>La proposition visée au paragraphe</w:t>
      </w:r>
      <w:r w:rsidR="00B03A49" w:rsidRPr="00652D04">
        <w:rPr>
          <w:lang w:val="fr-FR"/>
        </w:rPr>
        <w:t> </w:t>
      </w:r>
      <w:r w:rsidRPr="00652D04">
        <w:rPr>
          <w:lang w:val="fr-FR"/>
        </w:rPr>
        <w:t>3 doit indiquer la raison d</w:t>
      </w:r>
      <w:r w:rsidR="00D67156" w:rsidRPr="00652D04">
        <w:rPr>
          <w:lang w:val="fr-FR"/>
        </w:rPr>
        <w:t>’</w:t>
      </w:r>
      <w:r w:rsidRPr="00652D04">
        <w:rPr>
          <w:lang w:val="fr-FR"/>
        </w:rPr>
        <w:t>être de l</w:t>
      </w:r>
      <w:r w:rsidR="00D67156" w:rsidRPr="00652D04">
        <w:rPr>
          <w:lang w:val="fr-FR"/>
        </w:rPr>
        <w:t>’</w:t>
      </w:r>
      <w:r w:rsidRPr="00652D04">
        <w:rPr>
          <w:lang w:val="fr-FR"/>
        </w:rPr>
        <w:t>ouverture du bureau extérieur et proposer un mandat dans lequel seraient précisés les besoins, les objectifs et le champ d</w:t>
      </w:r>
      <w:r w:rsidR="00D67156" w:rsidRPr="00652D04">
        <w:rPr>
          <w:lang w:val="fr-FR"/>
        </w:rPr>
        <w:t>’</w:t>
      </w:r>
      <w:r w:rsidRPr="00652D04">
        <w:rPr>
          <w:lang w:val="fr-FR"/>
        </w:rPr>
        <w:t xml:space="preserve">activités proposé, </w:t>
      </w:r>
      <w:r w:rsidR="00D67156" w:rsidRPr="00652D04">
        <w:rPr>
          <w:lang w:val="fr-FR"/>
        </w:rPr>
        <w:t>y compris</w:t>
      </w:r>
      <w:r w:rsidRPr="00652D04">
        <w:rPr>
          <w:lang w:val="fr-FR"/>
        </w:rPr>
        <w:t xml:space="preserve"> au niveau régional, le cas échéant;  elle doit également indiquer la valeur ajoutée qu</w:t>
      </w:r>
      <w:r w:rsidR="00D67156" w:rsidRPr="00652D04">
        <w:rPr>
          <w:lang w:val="fr-FR"/>
        </w:rPr>
        <w:t>’</w:t>
      </w:r>
      <w:r w:rsidRPr="00652D04">
        <w:rPr>
          <w:lang w:val="fr-FR"/>
        </w:rPr>
        <w:t>il représente pour l</w:t>
      </w:r>
      <w:r w:rsidR="00D67156" w:rsidRPr="00652D04">
        <w:rPr>
          <w:lang w:val="fr-FR"/>
        </w:rPr>
        <w:t>’</w:t>
      </w:r>
      <w:r w:rsidRPr="00652D04">
        <w:rPr>
          <w:lang w:val="fr-FR"/>
        </w:rPr>
        <w:t>exécution des programmes de l</w:t>
      </w:r>
      <w:r w:rsidR="00D67156" w:rsidRPr="00652D04">
        <w:rPr>
          <w:lang w:val="fr-FR"/>
        </w:rPr>
        <w:t>’</w:t>
      </w:r>
      <w:r w:rsidRPr="00652D04">
        <w:rPr>
          <w:lang w:val="fr-FR"/>
        </w:rPr>
        <w:t>Organisation, compte tenu en particulier des éléments visés aux sections</w:t>
      </w:r>
      <w:r w:rsidR="00B03A49" w:rsidRPr="00652D04">
        <w:rPr>
          <w:lang w:val="fr-FR"/>
        </w:rPr>
        <w:t> </w:t>
      </w:r>
      <w:r w:rsidRPr="00652D04">
        <w:rPr>
          <w:lang w:val="fr-FR"/>
        </w:rPr>
        <w:t>D et E.</w:t>
      </w:r>
    </w:p>
    <w:p w:rsidR="000006CC" w:rsidRPr="00652D04" w:rsidRDefault="00A60E7A" w:rsidP="00DD78D5">
      <w:pPr>
        <w:pStyle w:val="ONUMFS"/>
        <w:rPr>
          <w:lang w:val="fr-FR"/>
        </w:rPr>
      </w:pPr>
      <w:r w:rsidRPr="00652D04">
        <w:rPr>
          <w:lang w:val="fr-FR"/>
        </w:rPr>
        <w:t>Étant entendu que le mandat de chaque bureau extérieur, défini par les États membres de l</w:t>
      </w:r>
      <w:r w:rsidR="00D67156" w:rsidRPr="00652D04">
        <w:rPr>
          <w:lang w:val="fr-FR"/>
        </w:rPr>
        <w:t>’</w:t>
      </w:r>
      <w:r w:rsidRPr="00652D04">
        <w:rPr>
          <w:lang w:val="fr-FR"/>
        </w:rPr>
        <w:t>OMPI, peut être distinct, les activités de base des bureaux extérieurs peuvent comprendre les éléments suivants</w:t>
      </w:r>
      <w:r w:rsidR="00B03A49" w:rsidRPr="00652D04">
        <w:rPr>
          <w:lang w:val="fr-FR"/>
        </w:rPr>
        <w:t> </w:t>
      </w:r>
      <w:r w:rsidRPr="00652D04">
        <w:rPr>
          <w:lang w:val="fr-FR"/>
        </w:rPr>
        <w:t>:</w:t>
      </w:r>
    </w:p>
    <w:p w:rsidR="000006CC" w:rsidRPr="00652D04" w:rsidRDefault="003A39CB" w:rsidP="00DD78D5">
      <w:pPr>
        <w:pStyle w:val="ONUMFS"/>
        <w:numPr>
          <w:ilvl w:val="2"/>
          <w:numId w:val="6"/>
        </w:numPr>
        <w:tabs>
          <w:tab w:val="clear" w:pos="1701"/>
        </w:tabs>
        <w:ind w:left="567"/>
        <w:rPr>
          <w:lang w:val="fr-FR"/>
        </w:rPr>
      </w:pPr>
      <w:r w:rsidRPr="00652D04">
        <w:rPr>
          <w:lang w:val="fr-FR"/>
        </w:rPr>
        <w:t>collaboration avec l</w:t>
      </w:r>
      <w:r w:rsidR="00D67156" w:rsidRPr="00652D04">
        <w:rPr>
          <w:lang w:val="fr-FR"/>
        </w:rPr>
        <w:t>’</w:t>
      </w:r>
      <w:r w:rsidRPr="00652D04">
        <w:rPr>
          <w:lang w:val="fr-FR"/>
        </w:rPr>
        <w:t>office national de propriété intellectuelle en vue d</w:t>
      </w:r>
      <w:r w:rsidR="00D67156" w:rsidRPr="00652D04">
        <w:rPr>
          <w:lang w:val="fr-FR"/>
        </w:rPr>
        <w:t>’</w:t>
      </w:r>
      <w:r w:rsidRPr="00652D04">
        <w:rPr>
          <w:lang w:val="fr-FR"/>
        </w:rPr>
        <w:t>appuyer et de faire progresser l</w:t>
      </w:r>
      <w:r w:rsidR="00D67156" w:rsidRPr="00652D04">
        <w:rPr>
          <w:lang w:val="fr-FR"/>
        </w:rPr>
        <w:t>’</w:t>
      </w:r>
      <w:r w:rsidRPr="00652D04">
        <w:rPr>
          <w:lang w:val="fr-FR"/>
        </w:rPr>
        <w:t>exécution des programmes de l</w:t>
      </w:r>
      <w:r w:rsidR="00D67156" w:rsidRPr="00652D04">
        <w:rPr>
          <w:lang w:val="fr-FR"/>
        </w:rPr>
        <w:t>’</w:t>
      </w:r>
      <w:r w:rsidRPr="00652D04">
        <w:rPr>
          <w:lang w:val="fr-FR"/>
        </w:rPr>
        <w:t>Organisation;</w:t>
      </w:r>
    </w:p>
    <w:p w:rsidR="000006CC" w:rsidRPr="00652D04" w:rsidRDefault="003A39CB" w:rsidP="00DD78D5">
      <w:pPr>
        <w:pStyle w:val="ONUMFS"/>
        <w:numPr>
          <w:ilvl w:val="2"/>
          <w:numId w:val="6"/>
        </w:numPr>
        <w:tabs>
          <w:tab w:val="clear" w:pos="1701"/>
        </w:tabs>
        <w:ind w:left="567"/>
        <w:rPr>
          <w:lang w:val="fr-FR"/>
        </w:rPr>
      </w:pPr>
      <w:r w:rsidRPr="00652D04">
        <w:rPr>
          <w:lang w:val="fr-FR"/>
        </w:rPr>
        <w:t>renforcement de l</w:t>
      </w:r>
      <w:r w:rsidR="00D67156" w:rsidRPr="00652D04">
        <w:rPr>
          <w:lang w:val="fr-FR"/>
        </w:rPr>
        <w:t>’</w:t>
      </w:r>
      <w:r w:rsidRPr="00652D04">
        <w:rPr>
          <w:lang w:val="fr-FR"/>
        </w:rPr>
        <w:t>innovation et de la créativité grâce, notamment, à la promotion de l</w:t>
      </w:r>
      <w:r w:rsidR="00D67156" w:rsidRPr="00652D04">
        <w:rPr>
          <w:lang w:val="fr-FR"/>
        </w:rPr>
        <w:t>’</w:t>
      </w:r>
      <w:r w:rsidRPr="00652D04">
        <w:rPr>
          <w:lang w:val="fr-FR"/>
        </w:rPr>
        <w:t>utilisation effective des services de propriété intellectuelle;</w:t>
      </w:r>
    </w:p>
    <w:p w:rsidR="00D67156" w:rsidRPr="00652D04" w:rsidRDefault="003A39CB" w:rsidP="00DD78D5">
      <w:pPr>
        <w:pStyle w:val="ONUMFS"/>
        <w:numPr>
          <w:ilvl w:val="2"/>
          <w:numId w:val="6"/>
        </w:numPr>
        <w:tabs>
          <w:tab w:val="clear" w:pos="1701"/>
        </w:tabs>
        <w:ind w:left="567"/>
        <w:rPr>
          <w:lang w:val="fr-FR"/>
        </w:rPr>
      </w:pPr>
      <w:r w:rsidRPr="00652D04">
        <w:rPr>
          <w:lang w:val="fr-FR"/>
        </w:rPr>
        <w:t>sensibilisation du public à la propriété intellectuelle, promotion de la compréhension et du respect de la propriété intellectuelle;</w:t>
      </w:r>
    </w:p>
    <w:p w:rsidR="00D67156" w:rsidRPr="00652D04" w:rsidRDefault="00EA4378" w:rsidP="00DD78D5">
      <w:pPr>
        <w:pStyle w:val="ONUMFS"/>
        <w:numPr>
          <w:ilvl w:val="2"/>
          <w:numId w:val="6"/>
        </w:numPr>
        <w:tabs>
          <w:tab w:val="clear" w:pos="1701"/>
        </w:tabs>
        <w:ind w:left="567"/>
        <w:rPr>
          <w:lang w:val="fr-FR"/>
        </w:rPr>
      </w:pPr>
      <w:r w:rsidRPr="00652D04">
        <w:rPr>
          <w:lang w:val="fr-FR"/>
        </w:rPr>
        <w:lastRenderedPageBreak/>
        <w:t xml:space="preserve">prestation de services clients aux utilisateurs des services mondiaux de propriété intellectuelle, </w:t>
      </w:r>
      <w:r w:rsidR="00D67156" w:rsidRPr="00652D04">
        <w:rPr>
          <w:lang w:val="fr-FR"/>
        </w:rPr>
        <w:t>y compris</w:t>
      </w:r>
      <w:r w:rsidRPr="00652D04">
        <w:rPr>
          <w:lang w:val="fr-FR"/>
        </w:rPr>
        <w:t xml:space="preserve"> les traités et conventions administrés par l</w:t>
      </w:r>
      <w:r w:rsidR="00D67156" w:rsidRPr="00652D04">
        <w:rPr>
          <w:lang w:val="fr-FR"/>
        </w:rPr>
        <w:t>’</w:t>
      </w:r>
      <w:r w:rsidRPr="00652D04">
        <w:rPr>
          <w:lang w:val="fr-FR"/>
        </w:rPr>
        <w:t>OMPI;</w:t>
      </w:r>
    </w:p>
    <w:p w:rsidR="000006CC" w:rsidRPr="00652D04" w:rsidRDefault="00EA4378" w:rsidP="00DD78D5">
      <w:pPr>
        <w:pStyle w:val="ONUMFS"/>
        <w:numPr>
          <w:ilvl w:val="2"/>
          <w:numId w:val="6"/>
        </w:numPr>
        <w:tabs>
          <w:tab w:val="clear" w:pos="1701"/>
        </w:tabs>
        <w:ind w:left="567"/>
        <w:rPr>
          <w:lang w:val="fr-FR"/>
        </w:rPr>
      </w:pPr>
      <w:r w:rsidRPr="00652D04">
        <w:rPr>
          <w:lang w:val="fr-FR"/>
        </w:rPr>
        <w:t>aide à l</w:t>
      </w:r>
      <w:r w:rsidR="00D67156" w:rsidRPr="00652D04">
        <w:rPr>
          <w:lang w:val="fr-FR"/>
        </w:rPr>
        <w:t>’</w:t>
      </w:r>
      <w:r w:rsidRPr="00652D04">
        <w:rPr>
          <w:lang w:val="fr-FR"/>
        </w:rPr>
        <w:t>utilisation de la propriété intellectuelle au service de la promotion de la mise au point et du transfert de technologie;</w:t>
      </w:r>
    </w:p>
    <w:p w:rsidR="000006CC" w:rsidRPr="00652D04" w:rsidRDefault="00EA4378" w:rsidP="00DD78D5">
      <w:pPr>
        <w:pStyle w:val="ONUMFS"/>
        <w:numPr>
          <w:ilvl w:val="2"/>
          <w:numId w:val="6"/>
        </w:numPr>
        <w:tabs>
          <w:tab w:val="clear" w:pos="1701"/>
        </w:tabs>
        <w:ind w:left="567"/>
        <w:rPr>
          <w:lang w:val="fr-FR"/>
        </w:rPr>
      </w:pPr>
      <w:r w:rsidRPr="00652D04">
        <w:rPr>
          <w:lang w:val="fr-FR"/>
        </w:rPr>
        <w:t>fourniture d</w:t>
      </w:r>
      <w:r w:rsidR="00D67156" w:rsidRPr="00652D04">
        <w:rPr>
          <w:lang w:val="fr-FR"/>
        </w:rPr>
        <w:t>’</w:t>
      </w:r>
      <w:r w:rsidRPr="00652D04">
        <w:rPr>
          <w:lang w:val="fr-FR"/>
        </w:rPr>
        <w:t>un appui politique et technique aux offices nationaux de propriété intellectuelle aux fins du renforcement de l</w:t>
      </w:r>
      <w:r w:rsidR="00D67156" w:rsidRPr="00652D04">
        <w:rPr>
          <w:lang w:val="fr-FR"/>
        </w:rPr>
        <w:t>’</w:t>
      </w:r>
      <w:r w:rsidRPr="00652D04">
        <w:rPr>
          <w:lang w:val="fr-FR"/>
        </w:rPr>
        <w:t>utilisation de la propriété intellectuelle;</w:t>
      </w:r>
    </w:p>
    <w:p w:rsidR="000006CC" w:rsidRPr="00652D04" w:rsidRDefault="00EA4378" w:rsidP="00DD78D5">
      <w:pPr>
        <w:pStyle w:val="ONUMFS"/>
        <w:numPr>
          <w:ilvl w:val="2"/>
          <w:numId w:val="6"/>
        </w:numPr>
        <w:tabs>
          <w:tab w:val="clear" w:pos="1701"/>
        </w:tabs>
        <w:ind w:left="567"/>
        <w:rPr>
          <w:lang w:val="fr-FR"/>
        </w:rPr>
      </w:pPr>
      <w:r w:rsidRPr="00652D04">
        <w:rPr>
          <w:lang w:val="fr-FR"/>
        </w:rPr>
        <w:t>sous réserve de l</w:t>
      </w:r>
      <w:r w:rsidR="00D67156" w:rsidRPr="00652D04">
        <w:rPr>
          <w:lang w:val="fr-FR"/>
        </w:rPr>
        <w:t>’</w:t>
      </w:r>
      <w:r w:rsidRPr="00652D04">
        <w:rPr>
          <w:lang w:val="fr-FR"/>
        </w:rPr>
        <w:t>accord</w:t>
      </w:r>
      <w:r w:rsidR="00D67156" w:rsidRPr="00652D04">
        <w:rPr>
          <w:lang w:val="fr-FR"/>
        </w:rPr>
        <w:t xml:space="preserve"> du PBC</w:t>
      </w:r>
      <w:r w:rsidRPr="00652D04">
        <w:rPr>
          <w:lang w:val="fr-FR"/>
        </w:rPr>
        <w:t>, l</w:t>
      </w:r>
      <w:r w:rsidR="00D67156" w:rsidRPr="00652D04">
        <w:rPr>
          <w:lang w:val="fr-FR"/>
        </w:rPr>
        <w:t>’</w:t>
      </w:r>
      <w:r w:rsidRPr="00652D04">
        <w:rPr>
          <w:lang w:val="fr-FR"/>
        </w:rPr>
        <w:t>OMPI peut étudier la possibilité de la mise en œuvre par un bureau extérieur d</w:t>
      </w:r>
      <w:r w:rsidR="00D67156" w:rsidRPr="00652D04">
        <w:rPr>
          <w:lang w:val="fr-FR"/>
        </w:rPr>
        <w:t>’</w:t>
      </w:r>
      <w:r w:rsidRPr="00652D04">
        <w:rPr>
          <w:lang w:val="fr-FR"/>
        </w:rPr>
        <w:t>autres activités présentant un intérêt pour les États membres de l</w:t>
      </w:r>
      <w:r w:rsidR="00D67156" w:rsidRPr="00652D04">
        <w:rPr>
          <w:lang w:val="fr-FR"/>
        </w:rPr>
        <w:t>’</w:t>
      </w:r>
      <w:r w:rsidRPr="00652D04">
        <w:rPr>
          <w:lang w:val="fr-FR"/>
        </w:rPr>
        <w:t>OMPI.</w:t>
      </w:r>
    </w:p>
    <w:p w:rsidR="00D67156" w:rsidRPr="00652D04" w:rsidRDefault="00EA4378" w:rsidP="00DD78D5">
      <w:pPr>
        <w:pStyle w:val="ONUMFS"/>
        <w:rPr>
          <w:lang w:val="fr-FR"/>
        </w:rPr>
      </w:pPr>
      <w:r w:rsidRPr="00652D04">
        <w:rPr>
          <w:lang w:val="fr-FR"/>
        </w:rPr>
        <w:t>Les bureaux extérieurs de l</w:t>
      </w:r>
      <w:r w:rsidR="00D67156" w:rsidRPr="00652D04">
        <w:rPr>
          <w:lang w:val="fr-FR"/>
        </w:rPr>
        <w:t>’</w:t>
      </w:r>
      <w:r w:rsidRPr="00652D04">
        <w:rPr>
          <w:lang w:val="fr-FR"/>
        </w:rPr>
        <w:t>OMPI n</w:t>
      </w:r>
      <w:r w:rsidR="00D67156" w:rsidRPr="00652D04">
        <w:rPr>
          <w:lang w:val="fr-FR"/>
        </w:rPr>
        <w:t>’</w:t>
      </w:r>
      <w:r w:rsidRPr="00652D04">
        <w:rPr>
          <w:lang w:val="fr-FR"/>
        </w:rPr>
        <w:t>exercent aucune activité relative à l</w:t>
      </w:r>
      <w:r w:rsidR="00D67156" w:rsidRPr="00652D04">
        <w:rPr>
          <w:lang w:val="fr-FR"/>
        </w:rPr>
        <w:t>’</w:t>
      </w:r>
      <w:r w:rsidRPr="00652D04">
        <w:rPr>
          <w:lang w:val="fr-FR"/>
        </w:rPr>
        <w:t>instruction</w:t>
      </w:r>
      <w:r w:rsidRPr="00652D04">
        <w:rPr>
          <w:rStyle w:val="FootnoteReference"/>
          <w:szCs w:val="22"/>
          <w:lang w:val="fr-FR"/>
        </w:rPr>
        <w:footnoteReference w:id="2"/>
      </w:r>
      <w:r w:rsidRPr="00652D04">
        <w:rPr>
          <w:lang w:val="fr-FR"/>
        </w:rPr>
        <w:t xml:space="preserve"> des demandes internationales déposées dans le cadre des systèmes</w:t>
      </w:r>
      <w:r w:rsidR="00D67156" w:rsidRPr="00652D04">
        <w:rPr>
          <w:lang w:val="fr-FR"/>
        </w:rPr>
        <w:t xml:space="preserve"> du PCT</w:t>
      </w:r>
      <w:r w:rsidRPr="00652D04">
        <w:rPr>
          <w:lang w:val="fr-FR"/>
        </w:rPr>
        <w:t xml:space="preserve">, de Madrid ou de </w:t>
      </w:r>
      <w:r w:rsidR="00D67156" w:rsidRPr="00652D04">
        <w:rPr>
          <w:lang w:val="fr-FR"/>
        </w:rPr>
        <w:t>La Haye</w:t>
      </w:r>
      <w:r w:rsidRPr="00652D04">
        <w:rPr>
          <w:lang w:val="fr-FR"/>
        </w:rPr>
        <w:t>, ni aucune transaction financière liée à ces demandes.</w:t>
      </w:r>
    </w:p>
    <w:p w:rsidR="000006CC" w:rsidRPr="00652D04" w:rsidRDefault="00EA4378" w:rsidP="00DD78D5">
      <w:pPr>
        <w:pStyle w:val="ONUMFS"/>
        <w:rPr>
          <w:szCs w:val="24"/>
          <w:lang w:val="fr-FR"/>
        </w:rPr>
      </w:pPr>
      <w:r w:rsidRPr="00652D04">
        <w:rPr>
          <w:szCs w:val="24"/>
          <w:lang w:val="fr-FR"/>
        </w:rPr>
        <w:t>Les bureaux extérieurs peuvent mener des activités complémentaires de celles exercées par les administrations nationales chargées de la propriété intellectuelle, mais ne sauraient assumer des responsabilités relevant essentiellement de ces dernières.</w:t>
      </w:r>
    </w:p>
    <w:p w:rsidR="000006CC" w:rsidRPr="00652D04" w:rsidRDefault="00EA4378" w:rsidP="00DD78D5">
      <w:pPr>
        <w:rPr>
          <w:b/>
          <w:lang w:val="fr-FR"/>
        </w:rPr>
      </w:pPr>
      <w:r w:rsidRPr="00652D04">
        <w:rPr>
          <w:b/>
          <w:lang w:val="fr-FR"/>
        </w:rPr>
        <w:t>C.</w:t>
      </w:r>
      <w:r w:rsidRPr="00652D04">
        <w:rPr>
          <w:b/>
          <w:lang w:val="fr-FR"/>
        </w:rPr>
        <w:tab/>
        <w:t>Activité régionale</w:t>
      </w:r>
    </w:p>
    <w:p w:rsidR="000006CC" w:rsidRPr="00652D04" w:rsidRDefault="000006CC" w:rsidP="00DD78D5">
      <w:pPr>
        <w:rPr>
          <w:b/>
          <w:szCs w:val="22"/>
          <w:lang w:val="fr-FR"/>
        </w:rPr>
      </w:pPr>
    </w:p>
    <w:p w:rsidR="00D67156" w:rsidRPr="00652D04" w:rsidRDefault="00EA4378" w:rsidP="00DD78D5">
      <w:pPr>
        <w:pStyle w:val="ONUMFS"/>
        <w:rPr>
          <w:lang w:val="fr-FR"/>
        </w:rPr>
      </w:pPr>
      <w:r w:rsidRPr="00652D04">
        <w:rPr>
          <w:lang w:val="fr-FR"/>
        </w:rPr>
        <w:t>Le mandat d</w:t>
      </w:r>
      <w:r w:rsidR="00D67156" w:rsidRPr="00652D04">
        <w:rPr>
          <w:lang w:val="fr-FR"/>
        </w:rPr>
        <w:t>’</w:t>
      </w:r>
      <w:r w:rsidRPr="00652D04">
        <w:rPr>
          <w:lang w:val="fr-FR"/>
        </w:rPr>
        <w:t>un bureau extérieur peut comprendre la conduite d</w:t>
      </w:r>
      <w:r w:rsidR="00D67156" w:rsidRPr="00652D04">
        <w:rPr>
          <w:lang w:val="fr-FR"/>
        </w:rPr>
        <w:t>’</w:t>
      </w:r>
      <w:r w:rsidRPr="00652D04">
        <w:rPr>
          <w:lang w:val="fr-FR"/>
        </w:rPr>
        <w:t>activités analogues à celles définies au paragraphe</w:t>
      </w:r>
      <w:r w:rsidR="00B03A49" w:rsidRPr="00652D04">
        <w:rPr>
          <w:lang w:val="fr-FR"/>
        </w:rPr>
        <w:t> </w:t>
      </w:r>
      <w:r w:rsidRPr="00652D04">
        <w:rPr>
          <w:lang w:val="fr-FR"/>
        </w:rPr>
        <w:t>7, en conformité avec le programme de l</w:t>
      </w:r>
      <w:r w:rsidR="00D67156" w:rsidRPr="00652D04">
        <w:rPr>
          <w:lang w:val="fr-FR"/>
        </w:rPr>
        <w:t>’</w:t>
      </w:r>
      <w:r w:rsidRPr="00652D04">
        <w:rPr>
          <w:lang w:val="fr-FR"/>
        </w:rPr>
        <w:t>OMPI qui a été approuvé dans un groupe de pays ou un groupe régional et aux fins de son renforcement, si les pays qui seront couverts par le bureau extérieur en ont convenu ainsi.</w:t>
      </w:r>
    </w:p>
    <w:p w:rsidR="000006CC" w:rsidRPr="00652D04" w:rsidRDefault="00EA4378" w:rsidP="00DD78D5">
      <w:pPr>
        <w:pStyle w:val="ONUMFS"/>
        <w:numPr>
          <w:ilvl w:val="0"/>
          <w:numId w:val="0"/>
        </w:numPr>
        <w:rPr>
          <w:lang w:val="fr-FR"/>
        </w:rPr>
      </w:pPr>
      <w:r w:rsidRPr="00652D04">
        <w:rPr>
          <w:lang w:val="fr-FR"/>
        </w:rPr>
        <w:t>10</w:t>
      </w:r>
      <w:r w:rsidRPr="00652D04">
        <w:rPr>
          <w:i/>
          <w:lang w:val="fr-FR"/>
        </w:rPr>
        <w:t>b</w:t>
      </w:r>
      <w:r w:rsidR="00E70920" w:rsidRPr="00652D04">
        <w:rPr>
          <w:i/>
          <w:lang w:val="fr-FR"/>
        </w:rPr>
        <w:t xml:space="preserve">is.  </w:t>
      </w:r>
      <w:r w:rsidR="00E70920" w:rsidRPr="00652D04">
        <w:rPr>
          <w:lang w:val="fr-FR"/>
        </w:rPr>
        <w:t>Ce</w:t>
      </w:r>
      <w:r w:rsidRPr="00652D04">
        <w:rPr>
          <w:lang w:val="fr-FR"/>
        </w:rPr>
        <w:t>s activités ne doivent pas porter atteinte aux droits de tout autre pays de la même région au regard de la mise en œuvre des activités ordinaires du programme de l</w:t>
      </w:r>
      <w:r w:rsidR="00D67156" w:rsidRPr="00652D04">
        <w:rPr>
          <w:lang w:val="fr-FR"/>
        </w:rPr>
        <w:t>’</w:t>
      </w:r>
      <w:r w:rsidRPr="00652D04">
        <w:rPr>
          <w:lang w:val="fr-FR"/>
        </w:rPr>
        <w:t xml:space="preserve">Organisation, notamment au niveau national, </w:t>
      </w:r>
      <w:r w:rsidR="00D67156" w:rsidRPr="00652D04">
        <w:rPr>
          <w:lang w:val="fr-FR"/>
        </w:rPr>
        <w:t>y compris</w:t>
      </w:r>
      <w:r w:rsidRPr="00652D04">
        <w:rPr>
          <w:lang w:val="fr-FR"/>
        </w:rPr>
        <w:t xml:space="preserve"> en ce qui concerne la fourniture de toute assistance juridique ou technique à ces pays directement par le siège de l</w:t>
      </w:r>
      <w:r w:rsidR="00D67156" w:rsidRPr="00652D04">
        <w:rPr>
          <w:lang w:val="fr-FR"/>
        </w:rPr>
        <w:t>’</w:t>
      </w:r>
      <w:r w:rsidRPr="00652D04">
        <w:rPr>
          <w:lang w:val="fr-FR"/>
        </w:rPr>
        <w:t>OMPI.</w:t>
      </w:r>
    </w:p>
    <w:p w:rsidR="000006CC" w:rsidRPr="00652D04" w:rsidRDefault="00EA4378" w:rsidP="00DD78D5">
      <w:pPr>
        <w:rPr>
          <w:b/>
          <w:lang w:val="fr-FR"/>
        </w:rPr>
      </w:pPr>
      <w:r w:rsidRPr="00652D04">
        <w:rPr>
          <w:b/>
          <w:lang w:val="fr-FR" w:eastAsia="en-US"/>
        </w:rPr>
        <w:t>D.</w:t>
      </w:r>
      <w:r w:rsidRPr="00652D04">
        <w:rPr>
          <w:b/>
          <w:lang w:val="fr-FR" w:eastAsia="en-US"/>
        </w:rPr>
        <w:tab/>
        <w:t>Viabilité financière et budgétaire</w:t>
      </w:r>
    </w:p>
    <w:p w:rsidR="000006CC" w:rsidRPr="00652D04" w:rsidRDefault="000006CC" w:rsidP="00DD78D5">
      <w:pPr>
        <w:rPr>
          <w:b/>
          <w:szCs w:val="22"/>
          <w:lang w:val="fr-FR"/>
        </w:rPr>
      </w:pPr>
    </w:p>
    <w:p w:rsidR="00D67156" w:rsidRPr="00652D04" w:rsidRDefault="00EA4378" w:rsidP="00DD78D5">
      <w:pPr>
        <w:pStyle w:val="ONUMFS"/>
        <w:rPr>
          <w:lang w:val="fr-FR"/>
        </w:rPr>
      </w:pPr>
      <w:r w:rsidRPr="00652D04">
        <w:rPr>
          <w:lang w:val="fr-FR"/>
        </w:rPr>
        <w:t>Compte tenu des différences de niveau de développement des États membres et de la nécessité de préserver des ressources pour les bureaux régionaux sans préjudice des droits des États membres ayant choisi de traiter directement avec le siège de l</w:t>
      </w:r>
      <w:r w:rsidR="00D67156" w:rsidRPr="00652D04">
        <w:rPr>
          <w:lang w:val="fr-FR"/>
        </w:rPr>
        <w:t>’</w:t>
      </w:r>
      <w:r w:rsidRPr="00652D04">
        <w:rPr>
          <w:lang w:val="fr-FR"/>
        </w:rPr>
        <w:t>OMPI, le paragraphe</w:t>
      </w:r>
      <w:r w:rsidR="00B03A49" w:rsidRPr="00652D04">
        <w:rPr>
          <w:lang w:val="fr-FR"/>
        </w:rPr>
        <w:t> </w:t>
      </w:r>
      <w:r w:rsidRPr="00652D04">
        <w:rPr>
          <w:lang w:val="fr-FR"/>
        </w:rPr>
        <w:t>3</w:t>
      </w:r>
      <w:r w:rsidRPr="00652D04">
        <w:rPr>
          <w:i/>
          <w:lang w:val="fr-FR"/>
        </w:rPr>
        <w:t>bis</w:t>
      </w:r>
      <w:r w:rsidRPr="00652D04">
        <w:rPr>
          <w:lang w:val="fr-FR"/>
        </w:rPr>
        <w:t xml:space="preserve"> du rapport étudie, sur </w:t>
      </w:r>
      <w:proofErr w:type="gramStart"/>
      <w:r w:rsidRPr="00652D04">
        <w:rPr>
          <w:lang w:val="fr-FR"/>
        </w:rPr>
        <w:t>la base de données précises</w:t>
      </w:r>
      <w:proofErr w:type="gramEnd"/>
      <w:r w:rsidRPr="00652D04">
        <w:rPr>
          <w:lang w:val="fr-FR"/>
        </w:rPr>
        <w:t>, la faisabilité technique du bureau extérieur proposé en prenant en considération les éléments suivants</w:t>
      </w:r>
      <w:r w:rsidR="00B03A49" w:rsidRPr="00652D04">
        <w:rPr>
          <w:lang w:val="fr-FR"/>
        </w:rPr>
        <w:t> </w:t>
      </w:r>
      <w:r w:rsidRPr="00652D04">
        <w:rPr>
          <w:lang w:val="fr-FR"/>
        </w:rPr>
        <w:t>:</w:t>
      </w:r>
    </w:p>
    <w:p w:rsidR="00D67156" w:rsidRPr="00652D04" w:rsidRDefault="00EA4378" w:rsidP="00816E56">
      <w:pPr>
        <w:pStyle w:val="ONUMFS"/>
        <w:numPr>
          <w:ilvl w:val="2"/>
          <w:numId w:val="6"/>
        </w:numPr>
        <w:tabs>
          <w:tab w:val="clear" w:pos="1701"/>
          <w:tab w:val="num" w:pos="1134"/>
        </w:tabs>
        <w:ind w:left="567"/>
        <w:rPr>
          <w:lang w:val="fr-FR"/>
        </w:rPr>
      </w:pPr>
      <w:r w:rsidRPr="00652D04">
        <w:rPr>
          <w:lang w:val="fr-FR"/>
        </w:rPr>
        <w:t>les incidences budgétaires de l</w:t>
      </w:r>
      <w:r w:rsidR="00D67156" w:rsidRPr="00652D04">
        <w:rPr>
          <w:lang w:val="fr-FR"/>
        </w:rPr>
        <w:t>’</w:t>
      </w:r>
      <w:r w:rsidRPr="00652D04">
        <w:rPr>
          <w:lang w:val="fr-FR"/>
        </w:rPr>
        <w:t xml:space="preserve">établissement du bureau extérieur, </w:t>
      </w:r>
      <w:r w:rsidR="00D67156" w:rsidRPr="00652D04">
        <w:rPr>
          <w:lang w:val="fr-FR"/>
        </w:rPr>
        <w:t>y compris</w:t>
      </w:r>
      <w:r w:rsidRPr="00652D04">
        <w:rPr>
          <w:lang w:val="fr-FR"/>
        </w:rPr>
        <w:t xml:space="preserve"> sa viabilité financière et budgétaire et ses coûts récurrents;</w:t>
      </w:r>
    </w:p>
    <w:p w:rsidR="000006CC" w:rsidRPr="00652D04" w:rsidRDefault="00EA4378" w:rsidP="00816E56">
      <w:pPr>
        <w:pStyle w:val="ONUMFS"/>
        <w:numPr>
          <w:ilvl w:val="2"/>
          <w:numId w:val="6"/>
        </w:numPr>
        <w:tabs>
          <w:tab w:val="clear" w:pos="1701"/>
          <w:tab w:val="num" w:pos="1134"/>
        </w:tabs>
        <w:ind w:left="567"/>
        <w:rPr>
          <w:lang w:val="fr-FR"/>
        </w:rPr>
      </w:pPr>
      <w:r w:rsidRPr="00652D04">
        <w:rPr>
          <w:lang w:val="fr-FR"/>
        </w:rPr>
        <w:t>les gains d</w:t>
      </w:r>
      <w:r w:rsidR="00D67156" w:rsidRPr="00652D04">
        <w:rPr>
          <w:lang w:val="fr-FR"/>
        </w:rPr>
        <w:t>’</w:t>
      </w:r>
      <w:r w:rsidRPr="00652D04">
        <w:rPr>
          <w:lang w:val="fr-FR"/>
        </w:rPr>
        <w:t>efficacité possibles par rapport à l</w:t>
      </w:r>
      <w:r w:rsidR="00D67156" w:rsidRPr="00652D04">
        <w:rPr>
          <w:lang w:val="fr-FR"/>
        </w:rPr>
        <w:t>’</w:t>
      </w:r>
      <w:r w:rsidRPr="00652D04">
        <w:rPr>
          <w:lang w:val="fr-FR"/>
        </w:rPr>
        <w:t>activité proposée du bureau extérieur.</w:t>
      </w:r>
    </w:p>
    <w:p w:rsidR="00D67156" w:rsidRPr="00652D04" w:rsidRDefault="00EA4378" w:rsidP="00DD78D5">
      <w:pPr>
        <w:pStyle w:val="ONUMFS"/>
        <w:numPr>
          <w:ilvl w:val="0"/>
          <w:numId w:val="0"/>
        </w:numPr>
        <w:rPr>
          <w:lang w:val="fr-FR"/>
        </w:rPr>
      </w:pPr>
      <w:r w:rsidRPr="00652D04">
        <w:rPr>
          <w:lang w:val="fr-FR"/>
        </w:rPr>
        <w:t>Le paragraphe</w:t>
      </w:r>
      <w:r w:rsidR="00B03A49" w:rsidRPr="00652D04">
        <w:rPr>
          <w:lang w:val="fr-FR"/>
        </w:rPr>
        <w:t> </w:t>
      </w:r>
      <w:r w:rsidRPr="00652D04">
        <w:rPr>
          <w:lang w:val="fr-FR"/>
        </w:rPr>
        <w:t>3</w:t>
      </w:r>
      <w:r w:rsidRPr="00652D04">
        <w:rPr>
          <w:i/>
          <w:lang w:val="fr-FR"/>
        </w:rPr>
        <w:t>bis</w:t>
      </w:r>
      <w:r w:rsidRPr="00652D04">
        <w:rPr>
          <w:lang w:val="fr-FR"/>
        </w:rPr>
        <w:t xml:space="preserve"> du rapport est sans préjudice de la décision politique finale susceptible d</w:t>
      </w:r>
      <w:r w:rsidR="00D67156" w:rsidRPr="00652D04">
        <w:rPr>
          <w:lang w:val="fr-FR"/>
        </w:rPr>
        <w:t>’</w:t>
      </w:r>
      <w:r w:rsidRPr="00652D04">
        <w:rPr>
          <w:lang w:val="fr-FR"/>
        </w:rPr>
        <w:t>être adoptée par les États membres concernant toute proposition d</w:t>
      </w:r>
      <w:r w:rsidR="00D67156" w:rsidRPr="00652D04">
        <w:rPr>
          <w:lang w:val="fr-FR"/>
        </w:rPr>
        <w:t>’</w:t>
      </w:r>
      <w:r w:rsidRPr="00652D04">
        <w:rPr>
          <w:lang w:val="fr-FR"/>
        </w:rPr>
        <w:t>accueillir un bureau extérieur de l</w:t>
      </w:r>
      <w:r w:rsidR="00D67156" w:rsidRPr="00652D04">
        <w:rPr>
          <w:lang w:val="fr-FR"/>
        </w:rPr>
        <w:t>’</w:t>
      </w:r>
      <w:r w:rsidRPr="00652D04">
        <w:rPr>
          <w:lang w:val="fr-FR"/>
        </w:rPr>
        <w:t>OMPI.</w:t>
      </w:r>
    </w:p>
    <w:p w:rsidR="000006CC" w:rsidRPr="00652D04" w:rsidRDefault="00EA4378" w:rsidP="00DD78D5">
      <w:pPr>
        <w:pStyle w:val="ONUMFS"/>
        <w:numPr>
          <w:ilvl w:val="0"/>
          <w:numId w:val="0"/>
        </w:numPr>
        <w:rPr>
          <w:lang w:val="fr-FR"/>
        </w:rPr>
      </w:pPr>
      <w:r w:rsidRPr="00652D04">
        <w:rPr>
          <w:lang w:val="fr-FR"/>
        </w:rPr>
        <w:t>11</w:t>
      </w:r>
      <w:r w:rsidRPr="00652D04">
        <w:rPr>
          <w:i/>
          <w:lang w:val="fr-FR"/>
        </w:rPr>
        <w:t>b</w:t>
      </w:r>
      <w:r w:rsidR="00E70920" w:rsidRPr="00652D04">
        <w:rPr>
          <w:i/>
          <w:lang w:val="fr-FR"/>
        </w:rPr>
        <w:t xml:space="preserve">is.  </w:t>
      </w:r>
      <w:r w:rsidR="00E70920" w:rsidRPr="00652D04">
        <w:rPr>
          <w:lang w:val="fr-FR"/>
        </w:rPr>
        <w:t>Le</w:t>
      </w:r>
      <w:r w:rsidRPr="00652D04">
        <w:rPr>
          <w:lang w:val="fr-FR"/>
        </w:rPr>
        <w:t xml:space="preserve"> financement des bureaux extérieurs autre que celui fourni par le pays hôte ou un autre pays souhaitant contribuer au fonctionnement du bureau extérieur en question n</w:t>
      </w:r>
      <w:r w:rsidR="00D67156" w:rsidRPr="00652D04">
        <w:rPr>
          <w:lang w:val="fr-FR"/>
        </w:rPr>
        <w:t>’</w:t>
      </w:r>
      <w:r w:rsidRPr="00652D04">
        <w:rPr>
          <w:lang w:val="fr-FR"/>
        </w:rPr>
        <w:t xml:space="preserve">impose </w:t>
      </w:r>
      <w:r w:rsidRPr="00652D04">
        <w:rPr>
          <w:lang w:val="fr-FR"/>
        </w:rPr>
        <w:lastRenderedPageBreak/>
        <w:t>pas une charge financière supplémentaire pour les États membres en plus de l</w:t>
      </w:r>
      <w:r w:rsidR="00D67156" w:rsidRPr="00652D04">
        <w:rPr>
          <w:lang w:val="fr-FR"/>
        </w:rPr>
        <w:t>’</w:t>
      </w:r>
      <w:r w:rsidRPr="00652D04">
        <w:rPr>
          <w:lang w:val="fr-FR"/>
        </w:rPr>
        <w:t>allocation au titre du budget ordinaire approuvé.</w:t>
      </w:r>
    </w:p>
    <w:p w:rsidR="00D67156" w:rsidRPr="00652D04" w:rsidRDefault="00EA4378" w:rsidP="00DD78D5">
      <w:pPr>
        <w:pStyle w:val="ONUMFS"/>
        <w:rPr>
          <w:lang w:val="fr-FR"/>
        </w:rPr>
      </w:pPr>
      <w:r w:rsidRPr="00652D04">
        <w:rPr>
          <w:lang w:val="fr-FR"/>
        </w:rPr>
        <w:t>La capacité à maintenir la viabilité financière et budgétaire du réseau de bureaux extérieurs de l</w:t>
      </w:r>
      <w:r w:rsidR="00D67156" w:rsidRPr="00652D04">
        <w:rPr>
          <w:lang w:val="fr-FR"/>
        </w:rPr>
        <w:t>’</w:t>
      </w:r>
      <w:r w:rsidRPr="00652D04">
        <w:rPr>
          <w:lang w:val="fr-FR"/>
        </w:rPr>
        <w:t>OMPI dépendra de sa contribution à l</w:t>
      </w:r>
      <w:r w:rsidR="00D67156" w:rsidRPr="00652D04">
        <w:rPr>
          <w:lang w:val="fr-FR"/>
        </w:rPr>
        <w:t>’</w:t>
      </w:r>
      <w:r w:rsidRPr="00652D04">
        <w:rPr>
          <w:lang w:val="fr-FR"/>
        </w:rPr>
        <w:t>obtention des résultats des programmes, de la rentabilité de son fonctionnement et de la situation financière de l</w:t>
      </w:r>
      <w:r w:rsidR="00D67156" w:rsidRPr="00652D04">
        <w:rPr>
          <w:lang w:val="fr-FR"/>
        </w:rPr>
        <w:t>’</w:t>
      </w:r>
      <w:r w:rsidRPr="00652D04">
        <w:rPr>
          <w:lang w:val="fr-FR"/>
        </w:rPr>
        <w:t>Organisation, et le Secrétariat devra tenir les États membres dûment informés de cette question.</w:t>
      </w:r>
    </w:p>
    <w:p w:rsidR="000006CC" w:rsidRPr="00652D04" w:rsidRDefault="00EA4378" w:rsidP="00DD78D5">
      <w:pPr>
        <w:rPr>
          <w:b/>
          <w:lang w:val="fr-FR"/>
        </w:rPr>
      </w:pPr>
      <w:r w:rsidRPr="00652D04">
        <w:rPr>
          <w:b/>
          <w:lang w:val="fr-FR"/>
        </w:rPr>
        <w:t>E.</w:t>
      </w:r>
      <w:r w:rsidRPr="00652D04">
        <w:rPr>
          <w:b/>
          <w:lang w:val="fr-FR"/>
        </w:rPr>
        <w:tab/>
        <w:t>Aspects géographiques/situation</w:t>
      </w:r>
    </w:p>
    <w:p w:rsidR="000006CC" w:rsidRPr="00652D04" w:rsidRDefault="000006CC" w:rsidP="00DD78D5">
      <w:pPr>
        <w:rPr>
          <w:b/>
          <w:szCs w:val="22"/>
          <w:lang w:val="fr-FR"/>
        </w:rPr>
      </w:pPr>
    </w:p>
    <w:p w:rsidR="00D67156" w:rsidRPr="00652D04" w:rsidRDefault="00EA4378" w:rsidP="00DD78D5">
      <w:pPr>
        <w:pStyle w:val="ONUMFS"/>
        <w:rPr>
          <w:lang w:val="fr-FR"/>
        </w:rPr>
      </w:pPr>
      <w:r w:rsidRPr="00652D04">
        <w:rPr>
          <w:lang w:val="fr-FR"/>
        </w:rPr>
        <w:t>Il convient de tenir dûment compte du principe de répartition géographique durable, équitable et rationnelle des futurs bureaux extérieu</w:t>
      </w:r>
      <w:r w:rsidR="00E70920" w:rsidRPr="00652D04">
        <w:rPr>
          <w:lang w:val="fr-FR"/>
        </w:rPr>
        <w:t>rs.  Le</w:t>
      </w:r>
      <w:r w:rsidRPr="00652D04">
        <w:rPr>
          <w:lang w:val="fr-FR"/>
        </w:rPr>
        <w:t xml:space="preserve"> domaine d</w:t>
      </w:r>
      <w:r w:rsidR="00D67156" w:rsidRPr="00652D04">
        <w:rPr>
          <w:lang w:val="fr-FR"/>
        </w:rPr>
        <w:t>’</w:t>
      </w:r>
      <w:r w:rsidRPr="00652D04">
        <w:rPr>
          <w:lang w:val="fr-FR"/>
        </w:rPr>
        <w:t>intervention géographique de chaque bureau extérieur doit être clairement défini.</w:t>
      </w:r>
    </w:p>
    <w:p w:rsidR="00D67156" w:rsidRPr="00652D04" w:rsidRDefault="00EA4378" w:rsidP="00DD78D5">
      <w:pPr>
        <w:pStyle w:val="ONUMFS"/>
        <w:rPr>
          <w:lang w:val="fr-FR"/>
        </w:rPr>
      </w:pPr>
      <w:r w:rsidRPr="00652D04">
        <w:rPr>
          <w:lang w:val="fr-FR"/>
        </w:rPr>
        <w:t>Il convient de tenir dûment compte des aspects liés au développement, des régions où il n</w:t>
      </w:r>
      <w:r w:rsidR="00D67156" w:rsidRPr="00652D04">
        <w:rPr>
          <w:lang w:val="fr-FR"/>
        </w:rPr>
        <w:t>’</w:t>
      </w:r>
      <w:r w:rsidRPr="00652D04">
        <w:rPr>
          <w:lang w:val="fr-FR"/>
        </w:rPr>
        <w:t>existe aucun bureau extérieur ou de la répartition des utilisateurs des services mondiaux de propriété intellectuelle de premier plan de l</w:t>
      </w:r>
      <w:r w:rsidR="00D67156" w:rsidRPr="00652D04">
        <w:rPr>
          <w:lang w:val="fr-FR"/>
        </w:rPr>
        <w:t>’</w:t>
      </w:r>
      <w:r w:rsidRPr="00652D04">
        <w:rPr>
          <w:lang w:val="fr-FR"/>
        </w:rPr>
        <w:t>OMPI.</w:t>
      </w:r>
    </w:p>
    <w:p w:rsidR="000006CC" w:rsidRPr="00652D04" w:rsidRDefault="00EA4378" w:rsidP="00DD78D5">
      <w:pPr>
        <w:pStyle w:val="ONUMFS"/>
        <w:rPr>
          <w:lang w:val="fr-FR"/>
        </w:rPr>
      </w:pPr>
      <w:r w:rsidRPr="00652D04">
        <w:rPr>
          <w:lang w:val="fr-FR"/>
        </w:rPr>
        <w:t>La présence d</w:t>
      </w:r>
      <w:r w:rsidR="00D67156" w:rsidRPr="00652D04">
        <w:rPr>
          <w:lang w:val="fr-FR"/>
        </w:rPr>
        <w:t>’</w:t>
      </w:r>
      <w:r w:rsidRPr="00652D04">
        <w:rPr>
          <w:lang w:val="fr-FR"/>
        </w:rPr>
        <w:t>un bureau extérieur dans une région, voire dans un pays voisin, ne constitue pas en soi un motif de rejet d</w:t>
      </w:r>
      <w:r w:rsidR="00D67156" w:rsidRPr="00652D04">
        <w:rPr>
          <w:lang w:val="fr-FR"/>
        </w:rPr>
        <w:t>’</w:t>
      </w:r>
      <w:r w:rsidRPr="00652D04">
        <w:rPr>
          <w:lang w:val="fr-FR"/>
        </w:rPr>
        <w:t>une demande présentée par un État membre de cette région pour examen et décision par l</w:t>
      </w:r>
      <w:r w:rsidR="00D67156" w:rsidRPr="00652D04">
        <w:rPr>
          <w:lang w:val="fr-FR"/>
        </w:rPr>
        <w:t>’</w:t>
      </w:r>
      <w:r w:rsidRPr="00652D04">
        <w:rPr>
          <w:lang w:val="fr-FR"/>
        </w:rPr>
        <w:t>Assemblée générale.</w:t>
      </w:r>
    </w:p>
    <w:p w:rsidR="000006CC" w:rsidRPr="00652D04" w:rsidRDefault="00EA4378" w:rsidP="00DD78D5">
      <w:pPr>
        <w:pStyle w:val="ONUMFS"/>
        <w:rPr>
          <w:lang w:val="fr-FR"/>
        </w:rPr>
      </w:pPr>
      <w:r w:rsidRPr="00652D04">
        <w:rPr>
          <w:lang w:val="fr-FR"/>
        </w:rPr>
        <w:t>L</w:t>
      </w:r>
      <w:r w:rsidR="00D67156" w:rsidRPr="00652D04">
        <w:rPr>
          <w:lang w:val="fr-FR"/>
        </w:rPr>
        <w:t>’</w:t>
      </w:r>
      <w:r w:rsidRPr="00652D04">
        <w:rPr>
          <w:lang w:val="fr-FR"/>
        </w:rPr>
        <w:t>ouverture d</w:t>
      </w:r>
      <w:r w:rsidR="00D67156" w:rsidRPr="00652D04">
        <w:rPr>
          <w:lang w:val="fr-FR"/>
        </w:rPr>
        <w:t>’</w:t>
      </w:r>
      <w:r w:rsidRPr="00652D04">
        <w:rPr>
          <w:lang w:val="fr-FR"/>
        </w:rPr>
        <w:t>un nouveau bureau extérieur est sans préjudice du droit d</w:t>
      </w:r>
      <w:r w:rsidR="00D67156" w:rsidRPr="00652D04">
        <w:rPr>
          <w:lang w:val="fr-FR"/>
        </w:rPr>
        <w:t>’</w:t>
      </w:r>
      <w:r w:rsidRPr="00652D04">
        <w:rPr>
          <w:lang w:val="fr-FR"/>
        </w:rPr>
        <w:t>un bureau extérieur existant de mener des activités approuvées au titre des programmes de l</w:t>
      </w:r>
      <w:r w:rsidR="00D67156" w:rsidRPr="00652D04">
        <w:rPr>
          <w:lang w:val="fr-FR"/>
        </w:rPr>
        <w:t>’</w:t>
      </w:r>
      <w:r w:rsidRPr="00652D04">
        <w:rPr>
          <w:lang w:val="fr-FR"/>
        </w:rPr>
        <w:t>OMPI dans son pays hôte ou dans un groupe de pays ou un groupe régional, conformément aux modalités convenues avec les États membres concernés.</w:t>
      </w:r>
    </w:p>
    <w:p w:rsidR="000006CC" w:rsidRPr="00652D04" w:rsidRDefault="00EA4378" w:rsidP="00DD78D5">
      <w:pPr>
        <w:pStyle w:val="ONUMFS"/>
        <w:rPr>
          <w:lang w:val="fr-FR"/>
        </w:rPr>
      </w:pPr>
      <w:r w:rsidRPr="00652D04">
        <w:rPr>
          <w:lang w:val="fr-FR"/>
        </w:rPr>
        <w:t>L</w:t>
      </w:r>
      <w:r w:rsidR="00D67156" w:rsidRPr="00652D04">
        <w:rPr>
          <w:lang w:val="fr-FR"/>
        </w:rPr>
        <w:t>’</w:t>
      </w:r>
      <w:r w:rsidRPr="00652D04">
        <w:rPr>
          <w:lang w:val="fr-FR"/>
        </w:rPr>
        <w:t>ouverture d</w:t>
      </w:r>
      <w:r w:rsidR="00D67156" w:rsidRPr="00652D04">
        <w:rPr>
          <w:lang w:val="fr-FR"/>
        </w:rPr>
        <w:t>’</w:t>
      </w:r>
      <w:r w:rsidRPr="00652D04">
        <w:rPr>
          <w:lang w:val="fr-FR"/>
        </w:rPr>
        <w:t>un bureau extérieur dans un État membre est sans préjudice des droits des autres États membres situés dans la même zone géographique et des relations établies avec le siège de l</w:t>
      </w:r>
      <w:r w:rsidR="00D67156" w:rsidRPr="00652D04">
        <w:rPr>
          <w:lang w:val="fr-FR"/>
        </w:rPr>
        <w:t>’</w:t>
      </w:r>
      <w:r w:rsidRPr="00652D04">
        <w:rPr>
          <w:lang w:val="fr-FR"/>
        </w:rPr>
        <w:t>OMPI.</w:t>
      </w:r>
    </w:p>
    <w:p w:rsidR="000006CC" w:rsidRPr="00652D04" w:rsidRDefault="00EA4378" w:rsidP="00DD78D5">
      <w:pPr>
        <w:rPr>
          <w:b/>
          <w:lang w:val="fr-FR"/>
        </w:rPr>
      </w:pPr>
      <w:r w:rsidRPr="00652D04">
        <w:rPr>
          <w:b/>
          <w:lang w:val="fr-FR"/>
        </w:rPr>
        <w:t>F.</w:t>
      </w:r>
      <w:r w:rsidRPr="00652D04">
        <w:rPr>
          <w:b/>
          <w:lang w:val="fr-FR"/>
        </w:rPr>
        <w:tab/>
        <w:t>Reddition de comptes et établissement de rapports par les bureaux extérieurs</w:t>
      </w:r>
    </w:p>
    <w:p w:rsidR="000006CC" w:rsidRPr="00652D04" w:rsidRDefault="000006CC" w:rsidP="00DD78D5">
      <w:pPr>
        <w:rPr>
          <w:b/>
          <w:szCs w:val="22"/>
          <w:lang w:val="fr-FR"/>
        </w:rPr>
      </w:pPr>
    </w:p>
    <w:p w:rsidR="00D67156" w:rsidRPr="00652D04" w:rsidRDefault="00EA4378" w:rsidP="00DD78D5">
      <w:pPr>
        <w:pStyle w:val="ONUMFS"/>
        <w:rPr>
          <w:lang w:val="fr-FR"/>
        </w:rPr>
      </w:pPr>
      <w:r w:rsidRPr="00652D04">
        <w:rPr>
          <w:lang w:val="fr-FR"/>
        </w:rPr>
        <w:t>Les bureaux extérieurs font tous partie intégrante du cadre réglementaire et de gestion axée sur les résultats mis en œuvre par l</w:t>
      </w:r>
      <w:r w:rsidR="00D67156" w:rsidRPr="00652D04">
        <w:rPr>
          <w:lang w:val="fr-FR"/>
        </w:rPr>
        <w:t>’</w:t>
      </w:r>
      <w:r w:rsidRPr="00652D04">
        <w:rPr>
          <w:lang w:val="fr-FR"/>
        </w:rPr>
        <w:t>O</w:t>
      </w:r>
      <w:r w:rsidR="00E70920" w:rsidRPr="00652D04">
        <w:rPr>
          <w:lang w:val="fr-FR"/>
        </w:rPr>
        <w:t>MPI.  Dè</w:t>
      </w:r>
      <w:r w:rsidRPr="00652D04">
        <w:rPr>
          <w:lang w:val="fr-FR"/>
        </w:rPr>
        <w:t>s lors qu</w:t>
      </w:r>
      <w:r w:rsidR="00D67156" w:rsidRPr="00652D04">
        <w:rPr>
          <w:lang w:val="fr-FR"/>
        </w:rPr>
        <w:t>’</w:t>
      </w:r>
      <w:r w:rsidRPr="00652D04">
        <w:rPr>
          <w:lang w:val="fr-FR"/>
        </w:rPr>
        <w:t>un bureau extérieur est créé et qu</w:t>
      </w:r>
      <w:r w:rsidR="00D67156" w:rsidRPr="00652D04">
        <w:rPr>
          <w:lang w:val="fr-FR"/>
        </w:rPr>
        <w:t>’</w:t>
      </w:r>
      <w:r w:rsidRPr="00652D04">
        <w:rPr>
          <w:lang w:val="fr-FR"/>
        </w:rPr>
        <w:t>il est opérationnel, ses résultats et activités font l</w:t>
      </w:r>
      <w:r w:rsidR="00D67156" w:rsidRPr="00652D04">
        <w:rPr>
          <w:lang w:val="fr-FR"/>
        </w:rPr>
        <w:t>’</w:t>
      </w:r>
      <w:r w:rsidRPr="00652D04">
        <w:rPr>
          <w:lang w:val="fr-FR"/>
        </w:rPr>
        <w:t>objet d</w:t>
      </w:r>
      <w:r w:rsidR="00D67156" w:rsidRPr="00652D04">
        <w:rPr>
          <w:lang w:val="fr-FR"/>
        </w:rPr>
        <w:t>’</w:t>
      </w:r>
      <w:r w:rsidRPr="00652D04">
        <w:rPr>
          <w:lang w:val="fr-FR"/>
        </w:rPr>
        <w:t>un suivi et d</w:t>
      </w:r>
      <w:r w:rsidR="00D67156" w:rsidRPr="00652D04">
        <w:rPr>
          <w:lang w:val="fr-FR"/>
        </w:rPr>
        <w:t>’</w:t>
      </w:r>
      <w:r w:rsidRPr="00652D04">
        <w:rPr>
          <w:lang w:val="fr-FR"/>
        </w:rPr>
        <w:t>une évaluation sur la base des indicateurs d</w:t>
      </w:r>
      <w:r w:rsidR="00D67156" w:rsidRPr="00652D04">
        <w:rPr>
          <w:lang w:val="fr-FR"/>
        </w:rPr>
        <w:t>’</w:t>
      </w:r>
      <w:r w:rsidRPr="00652D04">
        <w:rPr>
          <w:lang w:val="fr-FR"/>
        </w:rPr>
        <w:t>exécution et des objectifs, puis il en est rendu compte</w:t>
      </w:r>
      <w:r w:rsidR="00D67156" w:rsidRPr="00652D04">
        <w:rPr>
          <w:lang w:val="fr-FR"/>
        </w:rPr>
        <w:t xml:space="preserve"> au PBC</w:t>
      </w:r>
      <w:r w:rsidRPr="00652D04">
        <w:rPr>
          <w:lang w:val="fr-FR"/>
        </w:rPr>
        <w:t>, qui transmet ensuite ses recommandations à l</w:t>
      </w:r>
      <w:r w:rsidR="00D67156" w:rsidRPr="00652D04">
        <w:rPr>
          <w:lang w:val="fr-FR"/>
        </w:rPr>
        <w:t>’</w:t>
      </w:r>
      <w:r w:rsidRPr="00652D04">
        <w:rPr>
          <w:lang w:val="fr-FR"/>
        </w:rPr>
        <w:t>Assemblée générale, selon qu</w:t>
      </w:r>
      <w:r w:rsidR="00D67156" w:rsidRPr="00652D04">
        <w:rPr>
          <w:lang w:val="fr-FR"/>
        </w:rPr>
        <w:t>’</w:t>
      </w:r>
      <w:r w:rsidRPr="00652D04">
        <w:rPr>
          <w:lang w:val="fr-FR"/>
        </w:rPr>
        <w:t>il convient.</w:t>
      </w:r>
    </w:p>
    <w:p w:rsidR="00D67156" w:rsidRPr="00652D04" w:rsidRDefault="00EA4378" w:rsidP="00DD78D5">
      <w:pPr>
        <w:pStyle w:val="ONUMFS"/>
        <w:rPr>
          <w:lang w:val="fr-FR"/>
        </w:rPr>
      </w:pPr>
      <w:r w:rsidRPr="00652D04">
        <w:rPr>
          <w:lang w:val="fr-FR"/>
        </w:rPr>
        <w:t>L</w:t>
      </w:r>
      <w:r w:rsidR="00D67156" w:rsidRPr="00652D04">
        <w:rPr>
          <w:lang w:val="fr-FR"/>
        </w:rPr>
        <w:t>’</w:t>
      </w:r>
      <w:r w:rsidRPr="00652D04">
        <w:rPr>
          <w:lang w:val="fr-FR"/>
        </w:rPr>
        <w:t>OMPI fournit directement à tous ses bureaux extérieurs le matériel informatique nécessaire dans le cadre de ses procédures normales.</w:t>
      </w:r>
    </w:p>
    <w:p w:rsidR="000006CC" w:rsidRPr="00652D04" w:rsidRDefault="00EA4378" w:rsidP="00DD78D5">
      <w:pPr>
        <w:rPr>
          <w:b/>
          <w:lang w:val="fr-FR"/>
        </w:rPr>
      </w:pPr>
      <w:r w:rsidRPr="00652D04">
        <w:rPr>
          <w:b/>
          <w:lang w:val="fr-FR"/>
        </w:rPr>
        <w:t>G.</w:t>
      </w:r>
      <w:r w:rsidRPr="00652D04">
        <w:rPr>
          <w:b/>
          <w:lang w:val="fr-FR"/>
        </w:rPr>
        <w:tab/>
        <w:t>Mise en œuvre et révision</w:t>
      </w:r>
    </w:p>
    <w:p w:rsidR="000006CC" w:rsidRPr="00652D04" w:rsidRDefault="000006CC" w:rsidP="00A70460">
      <w:pPr>
        <w:rPr>
          <w:lang w:val="fr-FR"/>
        </w:rPr>
      </w:pPr>
    </w:p>
    <w:p w:rsidR="000006CC" w:rsidRPr="00652D04" w:rsidRDefault="008B096E" w:rsidP="008B096E">
      <w:pPr>
        <w:pStyle w:val="ONUMFS"/>
        <w:rPr>
          <w:lang w:val="fr-FR"/>
        </w:rPr>
      </w:pPr>
      <w:r w:rsidRPr="00652D04">
        <w:rPr>
          <w:lang w:val="fr-FR"/>
        </w:rPr>
        <w:t>Les présents principes directeurs sont applicables à tous les bureaux extérieurs existants et futurs.</w:t>
      </w:r>
    </w:p>
    <w:p w:rsidR="000006CC" w:rsidRPr="00652D04" w:rsidRDefault="008B096E" w:rsidP="008B096E">
      <w:pPr>
        <w:pStyle w:val="ONUMFS"/>
        <w:rPr>
          <w:lang w:val="fr-FR"/>
        </w:rPr>
      </w:pPr>
      <w:r w:rsidRPr="00652D04">
        <w:rPr>
          <w:lang w:val="fr-FR"/>
        </w:rPr>
        <w:t>Afin de tenir compte de l</w:t>
      </w:r>
      <w:r w:rsidR="00D67156" w:rsidRPr="00652D04">
        <w:rPr>
          <w:lang w:val="fr-FR"/>
        </w:rPr>
        <w:t>’</w:t>
      </w:r>
      <w:r w:rsidRPr="00652D04">
        <w:rPr>
          <w:lang w:val="fr-FR"/>
        </w:rPr>
        <w:t>évolution des besoins opérationnels de l</w:t>
      </w:r>
      <w:r w:rsidR="00D67156" w:rsidRPr="00652D04">
        <w:rPr>
          <w:lang w:val="fr-FR"/>
        </w:rPr>
        <w:t>’</w:t>
      </w:r>
      <w:r w:rsidRPr="00652D04">
        <w:rPr>
          <w:lang w:val="fr-FR"/>
        </w:rPr>
        <w:t>OMPI, les présents principes directeurs seront révisés et approuvés sur décision de l</w:t>
      </w:r>
      <w:r w:rsidR="00D67156" w:rsidRPr="00652D04">
        <w:rPr>
          <w:lang w:val="fr-FR"/>
        </w:rPr>
        <w:t>’</w:t>
      </w:r>
      <w:r w:rsidRPr="00652D04">
        <w:rPr>
          <w:lang w:val="fr-FR"/>
        </w:rPr>
        <w:t>Assemblée générale.</w:t>
      </w:r>
    </w:p>
    <w:p w:rsidR="000006CC" w:rsidRPr="00652D04" w:rsidRDefault="008B096E" w:rsidP="008B096E">
      <w:pPr>
        <w:pStyle w:val="ONUMFS"/>
        <w:rPr>
          <w:lang w:val="fr-FR"/>
        </w:rPr>
      </w:pPr>
      <w:r w:rsidRPr="00652D04">
        <w:rPr>
          <w:lang w:val="fr-FR"/>
        </w:rPr>
        <w:t>La taille et les résultats de l</w:t>
      </w:r>
      <w:r w:rsidR="00D67156" w:rsidRPr="00652D04">
        <w:rPr>
          <w:lang w:val="fr-FR"/>
        </w:rPr>
        <w:t>’</w:t>
      </w:r>
      <w:r w:rsidRPr="00652D04">
        <w:rPr>
          <w:lang w:val="fr-FR"/>
        </w:rPr>
        <w:t>ensemble du réseau des bureaux extérieurs seront évalués tous les cinq ans par le PBC, qui pourra demander l</w:t>
      </w:r>
      <w:r w:rsidR="00D67156" w:rsidRPr="00652D04">
        <w:rPr>
          <w:lang w:val="fr-FR"/>
        </w:rPr>
        <w:t>’</w:t>
      </w:r>
      <w:r w:rsidRPr="00652D04">
        <w:rPr>
          <w:lang w:val="fr-FR"/>
        </w:rPr>
        <w:t>assistance des vérificateurs externes des comptes de l</w:t>
      </w:r>
      <w:r w:rsidR="00D67156" w:rsidRPr="00652D04">
        <w:rPr>
          <w:lang w:val="fr-FR"/>
        </w:rPr>
        <w:t>’</w:t>
      </w:r>
      <w:r w:rsidRPr="00652D04">
        <w:rPr>
          <w:lang w:val="fr-FR"/>
        </w:rPr>
        <w:t>OMPI ou d</w:t>
      </w:r>
      <w:r w:rsidR="00D67156" w:rsidRPr="00652D04">
        <w:rPr>
          <w:lang w:val="fr-FR"/>
        </w:rPr>
        <w:t>’</w:t>
      </w:r>
      <w:r w:rsidRPr="00652D04">
        <w:rPr>
          <w:lang w:val="fr-FR"/>
        </w:rPr>
        <w:t>évaluateurs externes indépendants, compte dûment tenu des mandats et des fonctions distincts de chaque bureau extérie</w:t>
      </w:r>
      <w:r w:rsidR="00E70920" w:rsidRPr="00652D04">
        <w:rPr>
          <w:lang w:val="fr-FR"/>
        </w:rPr>
        <w:t>ur.  Le</w:t>
      </w:r>
      <w:r w:rsidRPr="00652D04">
        <w:rPr>
          <w:lang w:val="fr-FR"/>
        </w:rPr>
        <w:t xml:space="preserve"> mandat de cette évaluation sera décidé par le PBC.</w:t>
      </w:r>
    </w:p>
    <w:p w:rsidR="000006CC" w:rsidRPr="00652D04" w:rsidRDefault="00EF142A" w:rsidP="00652D04">
      <w:pPr>
        <w:pStyle w:val="ONUMFS"/>
        <w:keepNext/>
        <w:keepLines/>
        <w:numPr>
          <w:ilvl w:val="0"/>
          <w:numId w:val="0"/>
        </w:numPr>
        <w:rPr>
          <w:lang w:val="fr-FR"/>
        </w:rPr>
      </w:pPr>
      <w:r w:rsidRPr="00652D04">
        <w:rPr>
          <w:lang w:val="fr-FR"/>
        </w:rPr>
        <w:lastRenderedPageBreak/>
        <w:t>IV</w:t>
      </w:r>
      <w:r w:rsidR="009E5F37" w:rsidRPr="00652D04">
        <w:rPr>
          <w:lang w:val="fr-FR"/>
        </w:rPr>
        <w:t>.</w:t>
      </w:r>
      <w:r w:rsidR="009E5F37" w:rsidRPr="00652D04">
        <w:rPr>
          <w:lang w:val="fr-FR"/>
        </w:rPr>
        <w:tab/>
      </w:r>
      <w:r w:rsidR="0027422B" w:rsidRPr="00652D04">
        <w:rPr>
          <w:lang w:val="fr-FR"/>
        </w:rPr>
        <w:t>S</w:t>
      </w:r>
      <w:r w:rsidR="00D67156" w:rsidRPr="00652D04">
        <w:rPr>
          <w:lang w:val="fr-FR"/>
        </w:rPr>
        <w:t>’</w:t>
      </w:r>
      <w:r w:rsidR="0027422B" w:rsidRPr="00652D04">
        <w:rPr>
          <w:lang w:val="fr-FR"/>
        </w:rPr>
        <w:t>agissant des autres questions</w:t>
      </w:r>
      <w:r w:rsidR="003616C9" w:rsidRPr="00652D04">
        <w:rPr>
          <w:lang w:val="fr-FR"/>
        </w:rPr>
        <w:t>,</w:t>
      </w:r>
    </w:p>
    <w:p w:rsidR="000006CC" w:rsidRPr="00652D04" w:rsidRDefault="00A77A7F" w:rsidP="00652D04">
      <w:pPr>
        <w:pStyle w:val="ONUMFS"/>
        <w:keepNext/>
        <w:keepLines/>
        <w:numPr>
          <w:ilvl w:val="0"/>
          <w:numId w:val="0"/>
        </w:numPr>
        <w:rPr>
          <w:lang w:val="fr-FR"/>
        </w:rPr>
      </w:pPr>
      <w:proofErr w:type="gramStart"/>
      <w:r w:rsidRPr="00652D04">
        <w:rPr>
          <w:lang w:val="fr-FR"/>
        </w:rPr>
        <w:t>l</w:t>
      </w:r>
      <w:r w:rsidR="008B096E" w:rsidRPr="00652D04">
        <w:rPr>
          <w:lang w:val="fr-FR"/>
        </w:rPr>
        <w:t>es</w:t>
      </w:r>
      <w:proofErr w:type="gramEnd"/>
      <w:r w:rsidR="008B096E" w:rsidRPr="00652D04">
        <w:rPr>
          <w:lang w:val="fr-FR"/>
        </w:rPr>
        <w:t xml:space="preserve"> assemblées des États membres de l</w:t>
      </w:r>
      <w:r w:rsidR="00D67156" w:rsidRPr="00652D04">
        <w:rPr>
          <w:lang w:val="fr-FR"/>
        </w:rPr>
        <w:t>’</w:t>
      </w:r>
      <w:r w:rsidR="008B096E" w:rsidRPr="00652D04">
        <w:rPr>
          <w:lang w:val="fr-FR"/>
        </w:rPr>
        <w:t>OMPI et des unions administrées par l</w:t>
      </w:r>
      <w:r w:rsidR="00D67156" w:rsidRPr="00652D04">
        <w:rPr>
          <w:lang w:val="fr-FR"/>
        </w:rPr>
        <w:t>’</w:t>
      </w:r>
      <w:r w:rsidR="008B096E" w:rsidRPr="00652D04">
        <w:rPr>
          <w:lang w:val="fr-FR"/>
        </w:rPr>
        <w:t>OMPI, chacune pour ce qui la concerne,</w:t>
      </w:r>
    </w:p>
    <w:p w:rsidR="000006CC" w:rsidRPr="00652D04" w:rsidRDefault="008B096E" w:rsidP="008B096E">
      <w:pPr>
        <w:pStyle w:val="ONUMFS"/>
        <w:numPr>
          <w:ilvl w:val="0"/>
          <w:numId w:val="0"/>
        </w:numPr>
        <w:rPr>
          <w:lang w:val="fr-FR"/>
        </w:rPr>
      </w:pPr>
      <w:r w:rsidRPr="00652D04">
        <w:rPr>
          <w:lang w:val="fr-FR"/>
        </w:rPr>
        <w:t>i)</w:t>
      </w:r>
      <w:r w:rsidRPr="00652D04">
        <w:rPr>
          <w:lang w:val="fr-FR"/>
        </w:rPr>
        <w:tab/>
        <w:t>sont convenues d</w:t>
      </w:r>
      <w:r w:rsidR="00D67156" w:rsidRPr="00652D04">
        <w:rPr>
          <w:lang w:val="fr-FR"/>
        </w:rPr>
        <w:t>’</w:t>
      </w:r>
      <w:r w:rsidRPr="00652D04">
        <w:rPr>
          <w:lang w:val="fr-FR"/>
        </w:rPr>
        <w:t>approuver le programme et budget révisé (A/55/5 </w:t>
      </w:r>
      <w:proofErr w:type="spellStart"/>
      <w:r w:rsidRPr="00652D04">
        <w:rPr>
          <w:lang w:val="fr-FR"/>
        </w:rPr>
        <w:t>Rev</w:t>
      </w:r>
      <w:proofErr w:type="spellEnd"/>
      <w:r w:rsidRPr="00652D04">
        <w:rPr>
          <w:lang w:val="fr-FR"/>
        </w:rPr>
        <w:t>.) tel que modifié penda</w:t>
      </w:r>
      <w:r w:rsidR="00816E56" w:rsidRPr="00652D04">
        <w:rPr>
          <w:lang w:val="fr-FR"/>
        </w:rPr>
        <w:t>nt les assemblées (programme 6),</w:t>
      </w:r>
    </w:p>
    <w:p w:rsidR="000006CC" w:rsidRPr="00652D04" w:rsidRDefault="008B096E" w:rsidP="008B096E">
      <w:pPr>
        <w:pStyle w:val="ONUMFS"/>
        <w:numPr>
          <w:ilvl w:val="0"/>
          <w:numId w:val="0"/>
        </w:numPr>
        <w:rPr>
          <w:lang w:val="fr-FR"/>
        </w:rPr>
      </w:pPr>
      <w:r w:rsidRPr="00652D04">
        <w:rPr>
          <w:lang w:val="fr-FR"/>
        </w:rPr>
        <w:t>ii)</w:t>
      </w:r>
      <w:r w:rsidRPr="00652D04">
        <w:rPr>
          <w:lang w:val="fr-FR"/>
        </w:rPr>
        <w:tab/>
        <w:t>ont pris note de la décision de l</w:t>
      </w:r>
      <w:r w:rsidR="00D67156" w:rsidRPr="00652D04">
        <w:rPr>
          <w:lang w:val="fr-FR"/>
        </w:rPr>
        <w:t>’</w:t>
      </w:r>
      <w:r w:rsidRPr="00652D04">
        <w:rPr>
          <w:lang w:val="fr-FR"/>
        </w:rPr>
        <w:t>Assemblée de l</w:t>
      </w:r>
      <w:r w:rsidR="00D67156" w:rsidRPr="00652D04">
        <w:rPr>
          <w:lang w:val="fr-FR"/>
        </w:rPr>
        <w:t>’</w:t>
      </w:r>
      <w:r w:rsidRPr="00652D04">
        <w:rPr>
          <w:lang w:val="fr-FR"/>
        </w:rPr>
        <w:t>Union de Lisbonne d</w:t>
      </w:r>
      <w:r w:rsidR="00D67156" w:rsidRPr="00652D04">
        <w:rPr>
          <w:lang w:val="fr-FR"/>
        </w:rPr>
        <w:t>’</w:t>
      </w:r>
      <w:r w:rsidRPr="00652D04">
        <w:rPr>
          <w:lang w:val="fr-FR"/>
        </w:rPr>
        <w:t>adopter d</w:t>
      </w:r>
      <w:r w:rsidR="00D67156" w:rsidRPr="00652D04">
        <w:rPr>
          <w:lang w:val="fr-FR"/>
        </w:rPr>
        <w:t>’</w:t>
      </w:r>
      <w:r w:rsidRPr="00652D04">
        <w:rPr>
          <w:lang w:val="fr-FR"/>
        </w:rPr>
        <w:t>ici les assemblées de 2016 des mesures pour éliminer le déficit biennal prévu de l</w:t>
      </w:r>
      <w:r w:rsidR="00D67156" w:rsidRPr="00652D04">
        <w:rPr>
          <w:lang w:val="fr-FR"/>
        </w:rPr>
        <w:t>’</w:t>
      </w:r>
      <w:r w:rsidRPr="00652D04">
        <w:rPr>
          <w:lang w:val="fr-FR"/>
        </w:rPr>
        <w:t>Union de Lisbonne, comme indiqué dans le programme et budget de l</w:t>
      </w:r>
      <w:r w:rsidR="00D67156" w:rsidRPr="00652D04">
        <w:rPr>
          <w:lang w:val="fr-FR"/>
        </w:rPr>
        <w:t>’</w:t>
      </w:r>
      <w:r w:rsidRPr="00652D04">
        <w:rPr>
          <w:lang w:val="fr-FR"/>
        </w:rPr>
        <w:t>OMPI pour l</w:t>
      </w:r>
      <w:r w:rsidR="00D67156" w:rsidRPr="00652D04">
        <w:rPr>
          <w:lang w:val="fr-FR"/>
        </w:rPr>
        <w:t>’</w:t>
      </w:r>
      <w:r w:rsidRPr="00652D04">
        <w:rPr>
          <w:lang w:val="fr-FR"/>
        </w:rPr>
        <w:t>exercice biennal 2016</w:t>
      </w:r>
      <w:r w:rsidR="00E70920" w:rsidRPr="00652D04">
        <w:rPr>
          <w:lang w:val="fr-FR"/>
        </w:rPr>
        <w:noBreakHyphen/>
      </w:r>
      <w:r w:rsidRPr="00652D04">
        <w:rPr>
          <w:lang w:val="fr-FR"/>
        </w:rPr>
        <w:t>2017 (1,</w:t>
      </w:r>
      <w:r w:rsidR="00816E56" w:rsidRPr="00652D04">
        <w:rPr>
          <w:lang w:val="fr-FR"/>
        </w:rPr>
        <w:t>523 million de francs suisses),</w:t>
      </w:r>
      <w:r w:rsidRPr="00652D04">
        <w:rPr>
          <w:lang w:val="fr-FR"/>
        </w:rPr>
        <w:t xml:space="preserve"> et</w:t>
      </w:r>
    </w:p>
    <w:p w:rsidR="000006CC" w:rsidRPr="00652D04" w:rsidRDefault="008B096E" w:rsidP="008B096E">
      <w:pPr>
        <w:pStyle w:val="ONUMFS"/>
        <w:numPr>
          <w:ilvl w:val="0"/>
          <w:numId w:val="0"/>
        </w:numPr>
        <w:rPr>
          <w:lang w:val="fr-FR"/>
        </w:rPr>
      </w:pPr>
      <w:r w:rsidRPr="00652D04">
        <w:rPr>
          <w:lang w:val="fr-FR"/>
        </w:rPr>
        <w:t>iii)</w:t>
      </w:r>
      <w:r w:rsidRPr="00652D04">
        <w:rPr>
          <w:lang w:val="fr-FR"/>
        </w:rPr>
        <w:tab/>
        <w:t>ont décidé d</w:t>
      </w:r>
      <w:r w:rsidR="00D67156" w:rsidRPr="00652D04">
        <w:rPr>
          <w:lang w:val="fr-FR"/>
        </w:rPr>
        <w:t>’</w:t>
      </w:r>
      <w:r w:rsidRPr="00652D04">
        <w:rPr>
          <w:lang w:val="fr-FR"/>
        </w:rPr>
        <w:t>approuver un prêt à l</w:t>
      </w:r>
      <w:r w:rsidR="00D67156" w:rsidRPr="00652D04">
        <w:rPr>
          <w:lang w:val="fr-FR"/>
        </w:rPr>
        <w:t>’</w:t>
      </w:r>
      <w:r w:rsidRPr="00652D04">
        <w:rPr>
          <w:lang w:val="fr-FR"/>
        </w:rPr>
        <w:t>Union de Lisbonne imputé aux réserves des unions financées par des contributions afin de financer le fonctionnement du système de Lisbonne pour l</w:t>
      </w:r>
      <w:r w:rsidR="00D67156" w:rsidRPr="00652D04">
        <w:rPr>
          <w:lang w:val="fr-FR"/>
        </w:rPr>
        <w:t>’</w:t>
      </w:r>
      <w:r w:rsidRPr="00652D04">
        <w:rPr>
          <w:lang w:val="fr-FR"/>
        </w:rPr>
        <w:t>exercice biennal 2016</w:t>
      </w:r>
      <w:r w:rsidR="00E70920" w:rsidRPr="00652D04">
        <w:rPr>
          <w:lang w:val="fr-FR"/>
        </w:rPr>
        <w:noBreakHyphen/>
      </w:r>
      <w:r w:rsidRPr="00652D04">
        <w:rPr>
          <w:lang w:val="fr-FR"/>
        </w:rPr>
        <w:t>2017 au cas où ces mesures ne seraient pas suffisantes pour couvrir son déficit biennal pré</w:t>
      </w:r>
      <w:r w:rsidR="00E70920" w:rsidRPr="00652D04">
        <w:rPr>
          <w:lang w:val="fr-FR"/>
        </w:rPr>
        <w:t>vu.  Ce</w:t>
      </w:r>
      <w:r w:rsidRPr="00652D04">
        <w:rPr>
          <w:lang w:val="fr-FR"/>
        </w:rPr>
        <w:t xml:space="preserve"> prêt sera consenti sans intérêt et étant entendu qu</w:t>
      </w:r>
      <w:r w:rsidR="00D67156" w:rsidRPr="00652D04">
        <w:rPr>
          <w:lang w:val="fr-FR"/>
        </w:rPr>
        <w:t>’</w:t>
      </w:r>
      <w:r w:rsidRPr="00652D04">
        <w:rPr>
          <w:lang w:val="fr-FR"/>
        </w:rPr>
        <w:t>il sera remboursé lorsque les réserves de l</w:t>
      </w:r>
      <w:r w:rsidR="00D67156" w:rsidRPr="00652D04">
        <w:rPr>
          <w:lang w:val="fr-FR"/>
        </w:rPr>
        <w:t>’</w:t>
      </w:r>
      <w:r w:rsidRPr="00652D04">
        <w:rPr>
          <w:lang w:val="fr-FR"/>
        </w:rPr>
        <w:t>Union de Lisbonne le permettront.</w:t>
      </w:r>
    </w:p>
    <w:p w:rsidR="000006CC" w:rsidRPr="00652D04" w:rsidRDefault="00816E56" w:rsidP="008B096E">
      <w:pPr>
        <w:pStyle w:val="ONUMFS"/>
        <w:numPr>
          <w:ilvl w:val="0"/>
          <w:numId w:val="0"/>
        </w:numPr>
        <w:rPr>
          <w:lang w:val="fr-FR"/>
        </w:rPr>
      </w:pPr>
      <w:r w:rsidRPr="00652D04">
        <w:rPr>
          <w:lang w:val="fr-FR"/>
        </w:rPr>
        <w:t>2.</w:t>
      </w:r>
      <w:r w:rsidRPr="00652D04">
        <w:rPr>
          <w:lang w:val="fr-FR"/>
        </w:rPr>
        <w:tab/>
      </w:r>
      <w:r w:rsidR="008B096E" w:rsidRPr="00652D04">
        <w:rPr>
          <w:lang w:val="fr-FR"/>
        </w:rPr>
        <w:t>L</w:t>
      </w:r>
      <w:r w:rsidR="00D67156" w:rsidRPr="00652D04">
        <w:rPr>
          <w:lang w:val="fr-FR"/>
        </w:rPr>
        <w:t>’</w:t>
      </w:r>
      <w:r w:rsidR="008B096E" w:rsidRPr="00652D04">
        <w:rPr>
          <w:lang w:val="fr-FR"/>
        </w:rPr>
        <w:t>Assemblée générale</w:t>
      </w:r>
    </w:p>
    <w:p w:rsidR="000006CC" w:rsidRPr="00652D04" w:rsidRDefault="008B096E" w:rsidP="008B096E">
      <w:pPr>
        <w:pStyle w:val="ONUMFS"/>
        <w:numPr>
          <w:ilvl w:val="0"/>
          <w:numId w:val="0"/>
        </w:numPr>
        <w:rPr>
          <w:lang w:val="fr-FR"/>
        </w:rPr>
      </w:pPr>
      <w:r w:rsidRPr="00652D04">
        <w:rPr>
          <w:lang w:val="fr-FR"/>
        </w:rPr>
        <w:t>i)</w:t>
      </w:r>
      <w:r w:rsidRPr="00652D04">
        <w:rPr>
          <w:lang w:val="fr-FR"/>
        </w:rPr>
        <w:tab/>
        <w:t xml:space="preserve">a reconnu que la méthode de répartition des recettes et du budget par union </w:t>
      </w:r>
      <w:r w:rsidR="00816E56" w:rsidRPr="00652D04">
        <w:rPr>
          <w:lang w:val="fr-FR"/>
        </w:rPr>
        <w:t>était une question transversale,</w:t>
      </w:r>
    </w:p>
    <w:p w:rsidR="000006CC" w:rsidRPr="00652D04" w:rsidRDefault="008B096E" w:rsidP="008B096E">
      <w:pPr>
        <w:pStyle w:val="ONUMFS"/>
        <w:numPr>
          <w:ilvl w:val="0"/>
          <w:numId w:val="0"/>
        </w:numPr>
        <w:rPr>
          <w:lang w:val="fr-FR"/>
        </w:rPr>
      </w:pPr>
      <w:r w:rsidRPr="00652D04">
        <w:rPr>
          <w:lang w:val="fr-FR"/>
        </w:rPr>
        <w:t>ii)</w:t>
      </w:r>
      <w:r w:rsidRPr="00652D04">
        <w:rPr>
          <w:lang w:val="fr-FR"/>
        </w:rPr>
        <w:tab/>
        <w:t>a pris note du fait que certaines délégations estimaient qu</w:t>
      </w:r>
      <w:r w:rsidR="00D67156" w:rsidRPr="00652D04">
        <w:rPr>
          <w:lang w:val="fr-FR"/>
        </w:rPr>
        <w:t>’</w:t>
      </w:r>
      <w:r w:rsidRPr="00652D04">
        <w:rPr>
          <w:lang w:val="fr-FR"/>
        </w:rPr>
        <w:t>il serait nécessaire de poursuivre les disc</w:t>
      </w:r>
      <w:r w:rsidR="00816E56" w:rsidRPr="00652D04">
        <w:rPr>
          <w:lang w:val="fr-FR"/>
        </w:rPr>
        <w:t>ussions entre les États membres,</w:t>
      </w:r>
    </w:p>
    <w:p w:rsidR="000006CC" w:rsidRPr="00652D04" w:rsidRDefault="008B096E" w:rsidP="008B096E">
      <w:pPr>
        <w:pStyle w:val="ONUMFS"/>
        <w:numPr>
          <w:ilvl w:val="0"/>
          <w:numId w:val="0"/>
        </w:numPr>
        <w:rPr>
          <w:lang w:val="fr-FR"/>
        </w:rPr>
      </w:pPr>
      <w:r w:rsidRPr="00652D04">
        <w:rPr>
          <w:lang w:val="fr-FR"/>
        </w:rPr>
        <w:t>iii)</w:t>
      </w:r>
      <w:r w:rsidRPr="00652D04">
        <w:rPr>
          <w:lang w:val="fr-FR"/>
        </w:rPr>
        <w:tab/>
        <w:t>a prié le Secrétariat de réaliser une étude sur les autres solutions possibles en matière de méthode de répartition des recettes et du budget par union en vue de son examen par le PBC à sa vingt</w:t>
      </w:r>
      <w:r w:rsidR="00E70920" w:rsidRPr="00652D04">
        <w:rPr>
          <w:lang w:val="fr-FR"/>
        </w:rPr>
        <w:noBreakHyphen/>
      </w:r>
      <w:r w:rsidRPr="00652D04">
        <w:rPr>
          <w:lang w:val="fr-FR"/>
        </w:rPr>
        <w:t>cinquième session.</w:t>
      </w:r>
    </w:p>
    <w:p w:rsidR="000006CC" w:rsidRPr="00652D04" w:rsidRDefault="008B096E" w:rsidP="008B096E">
      <w:pPr>
        <w:pStyle w:val="ONUMFS"/>
        <w:numPr>
          <w:ilvl w:val="0"/>
          <w:numId w:val="0"/>
        </w:numPr>
        <w:rPr>
          <w:lang w:val="fr-FR"/>
        </w:rPr>
      </w:pPr>
      <w:r w:rsidRPr="00652D04">
        <w:rPr>
          <w:lang w:val="fr-FR"/>
        </w:rPr>
        <w:t>3.</w:t>
      </w:r>
      <w:r w:rsidRPr="00652D04">
        <w:rPr>
          <w:lang w:val="fr-FR"/>
        </w:rPr>
        <w:tab/>
        <w:t>L</w:t>
      </w:r>
      <w:r w:rsidR="00D67156" w:rsidRPr="00652D04">
        <w:rPr>
          <w:lang w:val="fr-FR"/>
        </w:rPr>
        <w:t>’</w:t>
      </w:r>
      <w:r w:rsidRPr="00652D04">
        <w:rPr>
          <w:lang w:val="fr-FR"/>
        </w:rPr>
        <w:t>Assemblée générale prend note du fait que toutes les conférences diplomatiques envisagées au cours de l</w:t>
      </w:r>
      <w:r w:rsidR="00D67156" w:rsidRPr="00652D04">
        <w:rPr>
          <w:lang w:val="fr-FR"/>
        </w:rPr>
        <w:t>’</w:t>
      </w:r>
      <w:r w:rsidRPr="00652D04">
        <w:rPr>
          <w:lang w:val="fr-FR"/>
        </w:rPr>
        <w:t>exercice biennal 2016</w:t>
      </w:r>
      <w:r w:rsidR="00E70920" w:rsidRPr="00652D04">
        <w:rPr>
          <w:lang w:val="fr-FR"/>
        </w:rPr>
        <w:noBreakHyphen/>
      </w:r>
      <w:r w:rsidRPr="00652D04">
        <w:rPr>
          <w:lang w:val="fr-FR"/>
        </w:rPr>
        <w:t>2017 susceptibles d</w:t>
      </w:r>
      <w:r w:rsidR="00D67156" w:rsidRPr="00652D04">
        <w:rPr>
          <w:lang w:val="fr-FR"/>
        </w:rPr>
        <w:t>’</w:t>
      </w:r>
      <w:r w:rsidRPr="00652D04">
        <w:rPr>
          <w:lang w:val="fr-FR"/>
        </w:rPr>
        <w:t>être tenues sous les auspices de l</w:t>
      </w:r>
      <w:r w:rsidR="00D67156" w:rsidRPr="00652D04">
        <w:rPr>
          <w:lang w:val="fr-FR"/>
        </w:rPr>
        <w:t>’</w:t>
      </w:r>
      <w:r w:rsidRPr="00652D04">
        <w:rPr>
          <w:lang w:val="fr-FR"/>
        </w:rPr>
        <w:t>OMPI durant l</w:t>
      </w:r>
      <w:r w:rsidR="00D67156" w:rsidRPr="00652D04">
        <w:rPr>
          <w:lang w:val="fr-FR"/>
        </w:rPr>
        <w:t>’</w:t>
      </w:r>
      <w:r w:rsidRPr="00652D04">
        <w:rPr>
          <w:lang w:val="fr-FR"/>
        </w:rPr>
        <w:t>exercice biennal 2016</w:t>
      </w:r>
      <w:r w:rsidR="00E70920" w:rsidRPr="00652D04">
        <w:rPr>
          <w:lang w:val="fr-FR"/>
        </w:rPr>
        <w:noBreakHyphen/>
      </w:r>
      <w:r w:rsidRPr="00652D04">
        <w:rPr>
          <w:lang w:val="fr-FR"/>
        </w:rPr>
        <w:t>2017 et financées au moyen des ressources de l</w:t>
      </w:r>
      <w:r w:rsidR="00D67156" w:rsidRPr="00652D04">
        <w:rPr>
          <w:lang w:val="fr-FR"/>
        </w:rPr>
        <w:t>’</w:t>
      </w:r>
      <w:r w:rsidRPr="00652D04">
        <w:rPr>
          <w:lang w:val="fr-FR"/>
        </w:rPr>
        <w:t>Organisation seront ouvertes à la pleine participation de tous les États membres de l</w:t>
      </w:r>
      <w:r w:rsidR="00D67156" w:rsidRPr="00652D04">
        <w:rPr>
          <w:lang w:val="fr-FR"/>
        </w:rPr>
        <w:t>’</w:t>
      </w:r>
      <w:r w:rsidRPr="00652D04">
        <w:rPr>
          <w:lang w:val="fr-FR"/>
        </w:rPr>
        <w:t>OMPI.</w:t>
      </w:r>
    </w:p>
    <w:p w:rsidR="000006CC" w:rsidRPr="00652D04" w:rsidRDefault="008B096E" w:rsidP="008B096E">
      <w:pPr>
        <w:pStyle w:val="Heading2"/>
        <w:rPr>
          <w:lang w:val="fr-FR"/>
        </w:rPr>
      </w:pPr>
      <w:r w:rsidRPr="00652D04">
        <w:rPr>
          <w:lang w:val="fr-FR"/>
        </w:rPr>
        <w:t>Point</w:t>
      </w:r>
      <w:r w:rsidR="00B03A49" w:rsidRPr="00652D04">
        <w:rPr>
          <w:lang w:val="fr-FR"/>
        </w:rPr>
        <w:t> </w:t>
      </w:r>
      <w:r w:rsidRPr="00652D04">
        <w:rPr>
          <w:lang w:val="fr-FR"/>
        </w:rPr>
        <w:t>12 de l</w:t>
      </w:r>
      <w:r w:rsidR="00D67156" w:rsidRPr="00652D04">
        <w:rPr>
          <w:lang w:val="fr-FR"/>
        </w:rPr>
        <w:t>’</w:t>
      </w:r>
      <w:r w:rsidRPr="00652D04">
        <w:rPr>
          <w:lang w:val="fr-FR"/>
        </w:rPr>
        <w:t>ordre du jour unifié</w:t>
      </w:r>
    </w:p>
    <w:p w:rsidR="000006CC" w:rsidRPr="00652D04" w:rsidRDefault="008B096E" w:rsidP="008B096E">
      <w:pPr>
        <w:pStyle w:val="Heading2"/>
        <w:rPr>
          <w:lang w:val="fr-FR"/>
        </w:rPr>
      </w:pPr>
      <w:r w:rsidRPr="00652D04">
        <w:rPr>
          <w:lang w:val="fr-FR"/>
        </w:rPr>
        <w:t>Rapport sur le Comité permanent du droit d</w:t>
      </w:r>
      <w:r w:rsidR="00D67156" w:rsidRPr="00652D04">
        <w:rPr>
          <w:lang w:val="fr-FR"/>
        </w:rPr>
        <w:t>’</w:t>
      </w:r>
      <w:r w:rsidRPr="00652D04">
        <w:rPr>
          <w:lang w:val="fr-FR"/>
        </w:rPr>
        <w:t>auteur et des droits connexes (SCCR)</w:t>
      </w:r>
    </w:p>
    <w:p w:rsidR="000006CC" w:rsidRPr="00652D04" w:rsidRDefault="000006CC" w:rsidP="004E2F5B">
      <w:pPr>
        <w:pStyle w:val="Endofdocument-Annex"/>
        <w:ind w:left="0"/>
        <w:rPr>
          <w:lang w:val="fr-FR"/>
        </w:rPr>
      </w:pPr>
    </w:p>
    <w:p w:rsidR="000006CC" w:rsidRPr="00652D04" w:rsidRDefault="008B096E" w:rsidP="008B096E">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w:t>
      </w:r>
    </w:p>
    <w:p w:rsidR="000006CC" w:rsidRPr="00652D04" w:rsidRDefault="008B096E" w:rsidP="008B096E">
      <w:pPr>
        <w:pStyle w:val="ONUMFS"/>
        <w:numPr>
          <w:ilvl w:val="0"/>
          <w:numId w:val="0"/>
        </w:numPr>
        <w:rPr>
          <w:lang w:val="fr-FR"/>
        </w:rPr>
      </w:pPr>
      <w:r w:rsidRPr="00652D04">
        <w:rPr>
          <w:lang w:val="fr-FR"/>
        </w:rPr>
        <w:t>i)</w:t>
      </w:r>
      <w:r w:rsidRPr="00652D04">
        <w:rPr>
          <w:lang w:val="fr-FR"/>
        </w:rPr>
        <w:tab/>
        <w:t>prend note des informations contenues dans le document WO/GA/47/5, et</w:t>
      </w:r>
    </w:p>
    <w:p w:rsidR="000006CC" w:rsidRPr="00652D04" w:rsidRDefault="008B096E" w:rsidP="008B096E">
      <w:pPr>
        <w:pStyle w:val="ONUMFS"/>
        <w:numPr>
          <w:ilvl w:val="0"/>
          <w:numId w:val="0"/>
        </w:numPr>
        <w:rPr>
          <w:lang w:val="fr-FR"/>
        </w:rPr>
      </w:pPr>
      <w:r w:rsidRPr="00652D04">
        <w:rPr>
          <w:lang w:val="fr-FR"/>
        </w:rPr>
        <w:t>ii)</w:t>
      </w:r>
      <w:r w:rsidRPr="00652D04">
        <w:rPr>
          <w:lang w:val="fr-FR"/>
        </w:rPr>
        <w:tab/>
        <w:t>charge le Comité permanent du droit d</w:t>
      </w:r>
      <w:r w:rsidR="00D67156" w:rsidRPr="00652D04">
        <w:rPr>
          <w:lang w:val="fr-FR"/>
        </w:rPr>
        <w:t>’</w:t>
      </w:r>
      <w:r w:rsidRPr="00652D04">
        <w:rPr>
          <w:lang w:val="fr-FR"/>
        </w:rPr>
        <w:t>auteur et des droits connexes (SCCR) de poursuivre ses travaux sur les questions dont il est rendu compte dans le document WO/GA/47/5.</w:t>
      </w:r>
    </w:p>
    <w:p w:rsidR="000006CC" w:rsidRPr="00652D04" w:rsidRDefault="008B096E" w:rsidP="008B096E">
      <w:pPr>
        <w:pStyle w:val="Heading2"/>
        <w:rPr>
          <w:lang w:val="fr-FR"/>
        </w:rPr>
      </w:pPr>
      <w:r w:rsidRPr="00652D04">
        <w:rPr>
          <w:lang w:val="fr-FR"/>
        </w:rPr>
        <w:lastRenderedPageBreak/>
        <w:t>Point</w:t>
      </w:r>
      <w:r w:rsidR="00B03A49" w:rsidRPr="00652D04">
        <w:rPr>
          <w:lang w:val="fr-FR"/>
        </w:rPr>
        <w:t> </w:t>
      </w:r>
      <w:r w:rsidRPr="00652D04">
        <w:rPr>
          <w:lang w:val="fr-FR"/>
        </w:rPr>
        <w:t>13 de l</w:t>
      </w:r>
      <w:r w:rsidR="00D67156" w:rsidRPr="00652D04">
        <w:rPr>
          <w:lang w:val="fr-FR"/>
        </w:rPr>
        <w:t>’</w:t>
      </w:r>
      <w:r w:rsidRPr="00652D04">
        <w:rPr>
          <w:lang w:val="fr-FR"/>
        </w:rPr>
        <w:t>ordre du jour unifié</w:t>
      </w:r>
    </w:p>
    <w:p w:rsidR="000006CC" w:rsidRPr="00652D04" w:rsidRDefault="008B096E" w:rsidP="008B096E">
      <w:pPr>
        <w:pStyle w:val="Heading2"/>
        <w:rPr>
          <w:lang w:val="fr-FR"/>
        </w:rPr>
      </w:pPr>
      <w:r w:rsidRPr="00652D04">
        <w:rPr>
          <w:lang w:val="fr-FR"/>
        </w:rPr>
        <w:t>Rapport sur le Comité permanent du droit des brevets (SCP)</w:t>
      </w:r>
    </w:p>
    <w:p w:rsidR="000006CC" w:rsidRPr="00652D04" w:rsidRDefault="000006CC" w:rsidP="004E2F5B">
      <w:pPr>
        <w:keepNext/>
        <w:tabs>
          <w:tab w:val="num" w:pos="-57"/>
        </w:tabs>
        <w:contextualSpacing/>
        <w:rPr>
          <w:lang w:val="fr-FR"/>
        </w:rPr>
      </w:pPr>
    </w:p>
    <w:p w:rsidR="000006CC" w:rsidRPr="00652D04" w:rsidRDefault="008B096E" w:rsidP="008B096E">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a pris note du “Rapport sur le Comité permanent du droit des brevets” (document WO/GA/47/6).</w:t>
      </w:r>
    </w:p>
    <w:p w:rsidR="000006CC" w:rsidRPr="00652D04" w:rsidRDefault="008B096E" w:rsidP="008B096E">
      <w:pPr>
        <w:pStyle w:val="Heading2"/>
        <w:rPr>
          <w:lang w:val="fr-FR"/>
        </w:rPr>
      </w:pPr>
      <w:r w:rsidRPr="00652D04">
        <w:rPr>
          <w:lang w:val="fr-FR"/>
        </w:rPr>
        <w:t>Point</w:t>
      </w:r>
      <w:r w:rsidR="00B03A49" w:rsidRPr="00652D04">
        <w:rPr>
          <w:lang w:val="fr-FR"/>
        </w:rPr>
        <w:t> </w:t>
      </w:r>
      <w:r w:rsidRPr="00652D04">
        <w:rPr>
          <w:lang w:val="fr-FR"/>
        </w:rPr>
        <w:t>14 de l</w:t>
      </w:r>
      <w:r w:rsidR="00D67156" w:rsidRPr="00652D04">
        <w:rPr>
          <w:lang w:val="fr-FR"/>
        </w:rPr>
        <w:t>’</w:t>
      </w:r>
      <w:r w:rsidRPr="00652D04">
        <w:rPr>
          <w:lang w:val="fr-FR"/>
        </w:rPr>
        <w:t>ordre du jour unifié</w:t>
      </w:r>
    </w:p>
    <w:p w:rsidR="000006CC" w:rsidRPr="00652D04" w:rsidRDefault="008B096E" w:rsidP="008B096E">
      <w:pPr>
        <w:pStyle w:val="Heading2"/>
        <w:rPr>
          <w:lang w:val="fr-FR"/>
        </w:rPr>
      </w:pPr>
      <w:r w:rsidRPr="00652D04">
        <w:rPr>
          <w:lang w:val="fr-FR"/>
        </w:rPr>
        <w:t>Questions concernant le Comité permanent du droit des marques, des dessins et modèles industriels et des indications géographiques (SCT)</w:t>
      </w:r>
    </w:p>
    <w:p w:rsidR="000006CC" w:rsidRPr="00652D04" w:rsidRDefault="000006CC" w:rsidP="004E2F5B">
      <w:pPr>
        <w:pStyle w:val="Endofdocument-Annex"/>
        <w:ind w:left="0"/>
        <w:rPr>
          <w:lang w:val="fr-FR"/>
        </w:rPr>
      </w:pPr>
    </w:p>
    <w:p w:rsidR="000006CC" w:rsidRPr="00652D04" w:rsidRDefault="008B096E" w:rsidP="008B096E">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a pris note du “Rapport sur le Comité permanent du droit des marques, des dessins et modèles industriels et des indications géographiques” (document WO/GA/47/7).</w:t>
      </w:r>
    </w:p>
    <w:p w:rsidR="000006CC" w:rsidRPr="00652D04" w:rsidRDefault="008B096E" w:rsidP="008B096E">
      <w:pPr>
        <w:pStyle w:val="ONUMFS"/>
        <w:numPr>
          <w:ilvl w:val="0"/>
          <w:numId w:val="0"/>
        </w:numPr>
        <w:rPr>
          <w:rFonts w:eastAsia="Times New Roman"/>
          <w:lang w:val="fr-FR"/>
        </w:rPr>
      </w:pPr>
      <w:r w:rsidRPr="00652D04">
        <w:rPr>
          <w:rFonts w:eastAsia="Times New Roman"/>
          <w:lang w:val="fr-FR"/>
        </w:rPr>
        <w:t>L</w:t>
      </w:r>
      <w:r w:rsidR="00D67156" w:rsidRPr="00652D04">
        <w:rPr>
          <w:rFonts w:eastAsia="Times New Roman"/>
          <w:lang w:val="fr-FR"/>
        </w:rPr>
        <w:t>’</w:t>
      </w:r>
      <w:r w:rsidRPr="00652D04">
        <w:rPr>
          <w:rFonts w:eastAsia="Times New Roman"/>
          <w:lang w:val="fr-FR"/>
        </w:rPr>
        <w:t>Assemblée générale a chargé le Comité permanent du droit des marques, des dessins et modèles industriels et des indications géographiques (SCT) d</w:t>
      </w:r>
      <w:r w:rsidR="00D67156" w:rsidRPr="00652D04">
        <w:rPr>
          <w:rFonts w:eastAsia="Times New Roman"/>
          <w:lang w:val="fr-FR"/>
        </w:rPr>
        <w:t>’</w:t>
      </w:r>
      <w:r w:rsidRPr="00652D04">
        <w:rPr>
          <w:rFonts w:eastAsia="Times New Roman"/>
          <w:lang w:val="fr-FR"/>
        </w:rPr>
        <w:t>examiner les différents systèmes de protection des indications géographiques, dans le cadre de son mandat actuel et en prenant en considération tous les aspects.</w:t>
      </w:r>
    </w:p>
    <w:p w:rsidR="000006CC" w:rsidRPr="00652D04" w:rsidRDefault="008B096E" w:rsidP="008B096E">
      <w:pPr>
        <w:pStyle w:val="Heading2"/>
        <w:rPr>
          <w:lang w:val="fr-FR"/>
        </w:rPr>
      </w:pPr>
      <w:r w:rsidRPr="00652D04">
        <w:rPr>
          <w:lang w:val="fr-FR"/>
        </w:rPr>
        <w:t>Point</w:t>
      </w:r>
      <w:r w:rsidR="00B03A49" w:rsidRPr="00652D04">
        <w:rPr>
          <w:lang w:val="fr-FR"/>
        </w:rPr>
        <w:t> </w:t>
      </w:r>
      <w:r w:rsidRPr="00652D04">
        <w:rPr>
          <w:lang w:val="fr-FR"/>
        </w:rPr>
        <w:t>15 de l</w:t>
      </w:r>
      <w:r w:rsidR="00D67156" w:rsidRPr="00652D04">
        <w:rPr>
          <w:lang w:val="fr-FR"/>
        </w:rPr>
        <w:t>’</w:t>
      </w:r>
      <w:r w:rsidRPr="00652D04">
        <w:rPr>
          <w:lang w:val="fr-FR"/>
        </w:rPr>
        <w:t>ordre du jour unifié</w:t>
      </w:r>
    </w:p>
    <w:p w:rsidR="000006CC" w:rsidRPr="00652D04" w:rsidRDefault="008B096E" w:rsidP="008B096E">
      <w:pPr>
        <w:pStyle w:val="Heading2"/>
        <w:rPr>
          <w:lang w:val="fr-FR"/>
        </w:rPr>
      </w:pPr>
      <w:r w:rsidRPr="00652D04">
        <w:rPr>
          <w:lang w:val="fr-FR"/>
        </w:rPr>
        <w:t>Questions concernant la convocation d</w:t>
      </w:r>
      <w:r w:rsidR="00D67156" w:rsidRPr="00652D04">
        <w:rPr>
          <w:lang w:val="fr-FR"/>
        </w:rPr>
        <w:t>’</w:t>
      </w:r>
      <w:r w:rsidRPr="00652D04">
        <w:rPr>
          <w:lang w:val="fr-FR"/>
        </w:rPr>
        <w:t>une conférence diplomatique pour l</w:t>
      </w:r>
      <w:r w:rsidR="00D67156" w:rsidRPr="00652D04">
        <w:rPr>
          <w:lang w:val="fr-FR"/>
        </w:rPr>
        <w:t>’</w:t>
      </w:r>
      <w:r w:rsidRPr="00652D04">
        <w:rPr>
          <w:lang w:val="fr-FR"/>
        </w:rPr>
        <w:t>adoption d</w:t>
      </w:r>
      <w:r w:rsidR="00D67156" w:rsidRPr="00652D04">
        <w:rPr>
          <w:lang w:val="fr-FR"/>
        </w:rPr>
        <w:t>’</w:t>
      </w:r>
      <w:r w:rsidRPr="00652D04">
        <w:rPr>
          <w:lang w:val="fr-FR"/>
        </w:rPr>
        <w:t>un traité sur le droit des dessins et modèles (DLT)</w:t>
      </w:r>
    </w:p>
    <w:p w:rsidR="000006CC" w:rsidRPr="00652D04" w:rsidRDefault="000006CC" w:rsidP="004E2F5B">
      <w:pPr>
        <w:tabs>
          <w:tab w:val="num" w:pos="-57"/>
        </w:tabs>
        <w:contextualSpacing/>
        <w:rPr>
          <w:lang w:val="fr-FR"/>
        </w:rPr>
      </w:pPr>
    </w:p>
    <w:p w:rsidR="00D67156" w:rsidRPr="00652D04" w:rsidRDefault="00EF1086" w:rsidP="008B096E">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est convenue</w:t>
      </w:r>
    </w:p>
    <w:p w:rsidR="000006CC" w:rsidRPr="00652D04" w:rsidRDefault="00EF1086" w:rsidP="00A70460">
      <w:pPr>
        <w:pStyle w:val="ONUMFS"/>
        <w:numPr>
          <w:ilvl w:val="0"/>
          <w:numId w:val="0"/>
        </w:numPr>
        <w:rPr>
          <w:lang w:val="fr-FR"/>
        </w:rPr>
      </w:pPr>
      <w:proofErr w:type="gramStart"/>
      <w:r w:rsidRPr="00652D04">
        <w:rPr>
          <w:lang w:val="fr-FR"/>
        </w:rPr>
        <w:t>que</w:t>
      </w:r>
      <w:proofErr w:type="gramEnd"/>
      <w:r w:rsidRPr="00652D04">
        <w:rPr>
          <w:lang w:val="fr-FR"/>
        </w:rPr>
        <w:t xml:space="preserve"> les travaux sur le texte de la proposition de base concernant le traité sur le droit des dessins et modèles devraient être finalisés par</w:t>
      </w:r>
      <w:r w:rsidR="00D67156" w:rsidRPr="00652D04">
        <w:rPr>
          <w:lang w:val="fr-FR"/>
        </w:rPr>
        <w:t xml:space="preserve"> le SCT</w:t>
      </w:r>
      <w:r w:rsidRPr="00652D04">
        <w:rPr>
          <w:lang w:val="fr-FR"/>
        </w:rPr>
        <w:t xml:space="preserve"> à ses trente</w:t>
      </w:r>
      <w:r w:rsidR="00E70920" w:rsidRPr="00652D04">
        <w:rPr>
          <w:lang w:val="fr-FR"/>
        </w:rPr>
        <w:noBreakHyphen/>
      </w:r>
      <w:r w:rsidRPr="00652D04">
        <w:rPr>
          <w:lang w:val="fr-FR"/>
        </w:rPr>
        <w:t>quatrième et trente</w:t>
      </w:r>
      <w:r w:rsidR="00E70920" w:rsidRPr="00652D04">
        <w:rPr>
          <w:lang w:val="fr-FR"/>
        </w:rPr>
        <w:noBreakHyphen/>
      </w:r>
      <w:r w:rsidRPr="00652D04">
        <w:rPr>
          <w:lang w:val="fr-FR"/>
        </w:rPr>
        <w:t>cinquième</w:t>
      </w:r>
      <w:r w:rsidR="00B03A49" w:rsidRPr="00652D04">
        <w:rPr>
          <w:lang w:val="fr-FR"/>
        </w:rPr>
        <w:t> </w:t>
      </w:r>
      <w:r w:rsidRPr="00652D04">
        <w:rPr>
          <w:lang w:val="fr-FR"/>
        </w:rPr>
        <w:t>sessions</w:t>
      </w:r>
      <w:r w:rsidR="00816E56" w:rsidRPr="00652D04">
        <w:rPr>
          <w:lang w:val="fr-FR"/>
        </w:rPr>
        <w:t>,</w:t>
      </w:r>
    </w:p>
    <w:p w:rsidR="000006CC" w:rsidRPr="00652D04" w:rsidRDefault="00A70460" w:rsidP="00A70460">
      <w:pPr>
        <w:pStyle w:val="ONUMFS"/>
        <w:numPr>
          <w:ilvl w:val="0"/>
          <w:numId w:val="0"/>
        </w:numPr>
        <w:rPr>
          <w:lang w:val="fr-FR"/>
        </w:rPr>
      </w:pPr>
      <w:r w:rsidRPr="00652D04">
        <w:rPr>
          <w:lang w:val="fr-FR"/>
        </w:rPr>
        <w:t>i)</w:t>
      </w:r>
      <w:r w:rsidRPr="00652D04">
        <w:rPr>
          <w:lang w:val="fr-FR"/>
        </w:rPr>
        <w:tab/>
      </w:r>
      <w:r w:rsidR="00EF1086" w:rsidRPr="00652D04">
        <w:rPr>
          <w:lang w:val="fr-FR"/>
        </w:rPr>
        <w:t>de convoquer une conférence diplomatique pour l</w:t>
      </w:r>
      <w:r w:rsidR="00D67156" w:rsidRPr="00652D04">
        <w:rPr>
          <w:lang w:val="fr-FR"/>
        </w:rPr>
        <w:t>’</w:t>
      </w:r>
      <w:r w:rsidR="00EF1086" w:rsidRPr="00652D04">
        <w:rPr>
          <w:lang w:val="fr-FR"/>
        </w:rPr>
        <w:t>adoption d</w:t>
      </w:r>
      <w:r w:rsidR="00D67156" w:rsidRPr="00652D04">
        <w:rPr>
          <w:lang w:val="fr-FR"/>
        </w:rPr>
        <w:t>’</w:t>
      </w:r>
      <w:r w:rsidR="00EF1086" w:rsidRPr="00652D04">
        <w:rPr>
          <w:lang w:val="fr-FR"/>
        </w:rPr>
        <w:t xml:space="preserve">un traité sur le droit des dessins et modèles à la fin du premier </w:t>
      </w:r>
      <w:r w:rsidR="008069BD" w:rsidRPr="00652D04">
        <w:rPr>
          <w:lang w:val="fr-FR"/>
        </w:rPr>
        <w:t>semestre</w:t>
      </w:r>
      <w:r w:rsidR="00EF1086" w:rsidRPr="00652D04">
        <w:rPr>
          <w:lang w:val="fr-FR"/>
        </w:rPr>
        <w:t xml:space="preserve"> de</w:t>
      </w:r>
      <w:r w:rsidR="00B03A49" w:rsidRPr="00652D04">
        <w:rPr>
          <w:lang w:val="fr-FR"/>
        </w:rPr>
        <w:t> </w:t>
      </w:r>
      <w:r w:rsidR="00EF1086" w:rsidRPr="00652D04">
        <w:rPr>
          <w:lang w:val="fr-FR"/>
        </w:rPr>
        <w:t>2017, uniquement si les discussions sur l</w:t>
      </w:r>
      <w:r w:rsidR="00D67156" w:rsidRPr="00652D04">
        <w:rPr>
          <w:lang w:val="fr-FR"/>
        </w:rPr>
        <w:t>’</w:t>
      </w:r>
      <w:r w:rsidR="00EF1086" w:rsidRPr="00652D04">
        <w:rPr>
          <w:lang w:val="fr-FR"/>
        </w:rPr>
        <w:t>assistance technique et l</w:t>
      </w:r>
      <w:r w:rsidR="00D67156" w:rsidRPr="00652D04">
        <w:rPr>
          <w:lang w:val="fr-FR"/>
        </w:rPr>
        <w:t>’</w:t>
      </w:r>
      <w:r w:rsidR="00EF1086" w:rsidRPr="00652D04">
        <w:rPr>
          <w:lang w:val="fr-FR"/>
        </w:rPr>
        <w:t xml:space="preserve">exigence de divulgation </w:t>
      </w:r>
      <w:r w:rsidR="008069BD" w:rsidRPr="00652D04">
        <w:rPr>
          <w:lang w:val="fr-FR"/>
        </w:rPr>
        <w:t>ont été</w:t>
      </w:r>
      <w:r w:rsidR="00EF1086" w:rsidRPr="00652D04">
        <w:rPr>
          <w:lang w:val="fr-FR"/>
        </w:rPr>
        <w:t xml:space="preserve"> achevées durant les trente</w:t>
      </w:r>
      <w:r w:rsidR="00E70920" w:rsidRPr="00652D04">
        <w:rPr>
          <w:lang w:val="fr-FR"/>
        </w:rPr>
        <w:noBreakHyphen/>
      </w:r>
      <w:r w:rsidR="00EF1086" w:rsidRPr="00652D04">
        <w:rPr>
          <w:lang w:val="fr-FR"/>
        </w:rPr>
        <w:t>quatrième et trente</w:t>
      </w:r>
      <w:r w:rsidR="00E70920" w:rsidRPr="00652D04">
        <w:rPr>
          <w:lang w:val="fr-FR"/>
        </w:rPr>
        <w:noBreakHyphen/>
      </w:r>
      <w:r w:rsidR="00EF1086" w:rsidRPr="00652D04">
        <w:rPr>
          <w:lang w:val="fr-FR"/>
        </w:rPr>
        <w:t>cinquième</w:t>
      </w:r>
      <w:r w:rsidR="00B03A49" w:rsidRPr="00652D04">
        <w:rPr>
          <w:lang w:val="fr-FR"/>
        </w:rPr>
        <w:t> </w:t>
      </w:r>
      <w:r w:rsidR="00EF1086" w:rsidRPr="00652D04">
        <w:rPr>
          <w:lang w:val="fr-FR"/>
        </w:rPr>
        <w:t>sessions</w:t>
      </w:r>
      <w:r w:rsidR="00D67156" w:rsidRPr="00652D04">
        <w:rPr>
          <w:lang w:val="fr-FR"/>
        </w:rPr>
        <w:t xml:space="preserve"> du SCT</w:t>
      </w:r>
      <w:r w:rsidR="00816E56" w:rsidRPr="00652D04">
        <w:rPr>
          <w:lang w:val="fr-FR"/>
        </w:rPr>
        <w:t>,</w:t>
      </w:r>
    </w:p>
    <w:p w:rsidR="000006CC" w:rsidRPr="00652D04" w:rsidRDefault="00A70460" w:rsidP="00A70460">
      <w:pPr>
        <w:pStyle w:val="ONUMFS"/>
        <w:numPr>
          <w:ilvl w:val="0"/>
          <w:numId w:val="0"/>
        </w:numPr>
        <w:rPr>
          <w:lang w:val="fr-FR"/>
        </w:rPr>
      </w:pPr>
      <w:r w:rsidRPr="00652D04">
        <w:rPr>
          <w:lang w:val="fr-FR"/>
        </w:rPr>
        <w:t>ii)</w:t>
      </w:r>
      <w:r w:rsidRPr="00652D04">
        <w:rPr>
          <w:lang w:val="fr-FR"/>
        </w:rPr>
        <w:tab/>
      </w:r>
      <w:r w:rsidR="00EF1086" w:rsidRPr="00652D04">
        <w:rPr>
          <w:lang w:val="fr-FR"/>
        </w:rPr>
        <w:t>que les travaux sur le texte de la proposition de base concernant le traité sur le droit des dessins et modèles devraient être finalisés par</w:t>
      </w:r>
      <w:r w:rsidR="00D67156" w:rsidRPr="00652D04">
        <w:rPr>
          <w:lang w:val="fr-FR"/>
        </w:rPr>
        <w:t xml:space="preserve"> le SCT</w:t>
      </w:r>
      <w:r w:rsidR="00EF1086" w:rsidRPr="00652D04">
        <w:rPr>
          <w:lang w:val="fr-FR"/>
        </w:rPr>
        <w:t xml:space="preserve"> à ses trente</w:t>
      </w:r>
      <w:r w:rsidR="00E70920" w:rsidRPr="00652D04">
        <w:rPr>
          <w:lang w:val="fr-FR"/>
        </w:rPr>
        <w:noBreakHyphen/>
      </w:r>
      <w:r w:rsidR="00EF1086" w:rsidRPr="00652D04">
        <w:rPr>
          <w:lang w:val="fr-FR"/>
        </w:rPr>
        <w:t>quatrième et trente</w:t>
      </w:r>
      <w:r w:rsidR="00E70920" w:rsidRPr="00652D04">
        <w:rPr>
          <w:lang w:val="fr-FR"/>
        </w:rPr>
        <w:noBreakHyphen/>
      </w:r>
      <w:r w:rsidR="00EF1086" w:rsidRPr="00652D04">
        <w:rPr>
          <w:lang w:val="fr-FR"/>
        </w:rPr>
        <w:t>cinquième</w:t>
      </w:r>
      <w:r w:rsidR="00B03A49" w:rsidRPr="00652D04">
        <w:rPr>
          <w:lang w:val="fr-FR"/>
        </w:rPr>
        <w:t> </w:t>
      </w:r>
      <w:r w:rsidR="00EF1086" w:rsidRPr="00652D04">
        <w:rPr>
          <w:lang w:val="fr-FR"/>
        </w:rPr>
        <w:t>sessions</w:t>
      </w:r>
      <w:r w:rsidR="00816E56" w:rsidRPr="00652D04">
        <w:rPr>
          <w:lang w:val="fr-FR"/>
        </w:rPr>
        <w:t>,</w:t>
      </w:r>
    </w:p>
    <w:p w:rsidR="000006CC" w:rsidRPr="00652D04" w:rsidRDefault="00A70460" w:rsidP="00A70460">
      <w:pPr>
        <w:pStyle w:val="ONUMFS"/>
        <w:numPr>
          <w:ilvl w:val="0"/>
          <w:numId w:val="0"/>
        </w:numPr>
        <w:rPr>
          <w:lang w:val="fr-FR"/>
        </w:rPr>
      </w:pPr>
      <w:r w:rsidRPr="00652D04">
        <w:rPr>
          <w:lang w:val="fr-FR"/>
        </w:rPr>
        <w:t>iii)</w:t>
      </w:r>
      <w:r w:rsidRPr="00652D04">
        <w:rPr>
          <w:lang w:val="fr-FR"/>
        </w:rPr>
        <w:tab/>
      </w:r>
      <w:r w:rsidR="00EF1086" w:rsidRPr="00652D04">
        <w:rPr>
          <w:lang w:val="fr-FR"/>
        </w:rPr>
        <w:t>que, si une conférence diplomatique est convoquée à la fin du premier semestre de</w:t>
      </w:r>
      <w:r w:rsidR="00B03A49" w:rsidRPr="00652D04">
        <w:rPr>
          <w:lang w:val="fr-FR"/>
        </w:rPr>
        <w:t> </w:t>
      </w:r>
      <w:r w:rsidR="00EF1086" w:rsidRPr="00652D04">
        <w:rPr>
          <w:lang w:val="fr-FR"/>
        </w:rPr>
        <w:t xml:space="preserve">2017, la date et le lieu de cette conférence diplomatique </w:t>
      </w:r>
      <w:r w:rsidR="001869AF" w:rsidRPr="00652D04">
        <w:rPr>
          <w:lang w:val="fr-FR"/>
        </w:rPr>
        <w:t>seront déterminés par un comité préparatoire qui tiendra une session juste avant la trente</w:t>
      </w:r>
      <w:r w:rsidR="00E70920" w:rsidRPr="00652D04">
        <w:rPr>
          <w:lang w:val="fr-FR"/>
        </w:rPr>
        <w:noBreakHyphen/>
      </w:r>
      <w:r w:rsidR="001869AF" w:rsidRPr="00652D04">
        <w:rPr>
          <w:lang w:val="fr-FR"/>
        </w:rPr>
        <w:t>cinquième</w:t>
      </w:r>
      <w:r w:rsidR="00B03A49" w:rsidRPr="00652D04">
        <w:rPr>
          <w:lang w:val="fr-FR"/>
        </w:rPr>
        <w:t> </w:t>
      </w:r>
      <w:r w:rsidR="001869AF" w:rsidRPr="00652D04">
        <w:rPr>
          <w:lang w:val="fr-FR"/>
        </w:rPr>
        <w:t>session</w:t>
      </w:r>
      <w:r w:rsidR="00D67156" w:rsidRPr="00652D04">
        <w:rPr>
          <w:lang w:val="fr-FR"/>
        </w:rPr>
        <w:t xml:space="preserve"> du SCT</w:t>
      </w:r>
      <w:r w:rsidR="000B6D8D" w:rsidRPr="00652D04">
        <w:rPr>
          <w:lang w:val="fr-FR"/>
        </w:rPr>
        <w:t>.</w:t>
      </w:r>
    </w:p>
    <w:p w:rsidR="000006CC" w:rsidRPr="00652D04" w:rsidRDefault="008B096E" w:rsidP="00652D04">
      <w:pPr>
        <w:pStyle w:val="Heading2"/>
        <w:keepLines/>
        <w:rPr>
          <w:lang w:val="fr-FR"/>
        </w:rPr>
      </w:pPr>
      <w:r w:rsidRPr="00652D04">
        <w:rPr>
          <w:lang w:val="fr-FR"/>
        </w:rPr>
        <w:lastRenderedPageBreak/>
        <w:t>Point</w:t>
      </w:r>
      <w:r w:rsidR="00B03A49" w:rsidRPr="00652D04">
        <w:rPr>
          <w:lang w:val="fr-FR"/>
        </w:rPr>
        <w:t> </w:t>
      </w:r>
      <w:r w:rsidRPr="00652D04">
        <w:rPr>
          <w:lang w:val="fr-FR"/>
        </w:rPr>
        <w:t>16 de l</w:t>
      </w:r>
      <w:r w:rsidR="00D67156" w:rsidRPr="00652D04">
        <w:rPr>
          <w:lang w:val="fr-FR"/>
        </w:rPr>
        <w:t>’</w:t>
      </w:r>
      <w:r w:rsidRPr="00652D04">
        <w:rPr>
          <w:lang w:val="fr-FR"/>
        </w:rPr>
        <w:t>ordre du jour unifié</w:t>
      </w:r>
    </w:p>
    <w:p w:rsidR="000006CC" w:rsidRPr="00652D04" w:rsidRDefault="008B096E" w:rsidP="00652D04">
      <w:pPr>
        <w:pStyle w:val="Heading2"/>
        <w:keepLines/>
        <w:rPr>
          <w:lang w:val="fr-FR"/>
        </w:rPr>
      </w:pPr>
      <w:r w:rsidRPr="00652D04">
        <w:rPr>
          <w:lang w:val="fr-FR"/>
        </w:rPr>
        <w:t>Rapport sur le Comité du développement et de la propriété intellectuelle (CDIP) et examen de la mise en œuvre des recommandations du Plan d</w:t>
      </w:r>
      <w:r w:rsidR="00D67156" w:rsidRPr="00652D04">
        <w:rPr>
          <w:lang w:val="fr-FR"/>
        </w:rPr>
        <w:t>’</w:t>
      </w:r>
      <w:r w:rsidRPr="00652D04">
        <w:rPr>
          <w:lang w:val="fr-FR"/>
        </w:rPr>
        <w:t>action pour le développement</w:t>
      </w:r>
    </w:p>
    <w:p w:rsidR="000006CC" w:rsidRPr="00652D04" w:rsidRDefault="000006CC" w:rsidP="00652D04">
      <w:pPr>
        <w:keepNext/>
        <w:keepLines/>
        <w:ind w:left="550" w:hanging="550"/>
        <w:rPr>
          <w:lang w:val="fr-FR"/>
        </w:rPr>
      </w:pPr>
    </w:p>
    <w:p w:rsidR="000006CC" w:rsidRPr="00652D04" w:rsidRDefault="008B096E" w:rsidP="00652D04">
      <w:pPr>
        <w:pStyle w:val="ONUMFS"/>
        <w:keepNext/>
        <w:keepLine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w:t>
      </w:r>
    </w:p>
    <w:p w:rsidR="000006CC" w:rsidRPr="00652D04" w:rsidRDefault="008B096E" w:rsidP="00652D04">
      <w:pPr>
        <w:pStyle w:val="ONUMFS"/>
        <w:keepNext/>
        <w:keepLines/>
        <w:numPr>
          <w:ilvl w:val="0"/>
          <w:numId w:val="0"/>
        </w:numPr>
        <w:rPr>
          <w:lang w:val="fr-FR"/>
        </w:rPr>
      </w:pPr>
      <w:r w:rsidRPr="00652D04">
        <w:rPr>
          <w:lang w:val="fr-FR"/>
        </w:rPr>
        <w:t>a)</w:t>
      </w:r>
      <w:r w:rsidRPr="00652D04">
        <w:rPr>
          <w:lang w:val="fr-FR"/>
        </w:rPr>
        <w:tab/>
        <w:t>a pris note du “Rapport sur le Comité du développement et de la propriété intellectuelle (CDIP) et examen de la mise en œuvre des recommandations du Plan d</w:t>
      </w:r>
      <w:r w:rsidR="00D67156" w:rsidRPr="00652D04">
        <w:rPr>
          <w:lang w:val="fr-FR"/>
        </w:rPr>
        <w:t>’</w:t>
      </w:r>
      <w:r w:rsidRPr="00652D04">
        <w:rPr>
          <w:lang w:val="fr-FR"/>
        </w:rPr>
        <w:t>action pour le développement” (document WO/GA/47/9),</w:t>
      </w:r>
    </w:p>
    <w:p w:rsidR="000006CC" w:rsidRPr="00652D04" w:rsidRDefault="008B096E" w:rsidP="008B096E">
      <w:pPr>
        <w:pStyle w:val="ONUMFS"/>
        <w:numPr>
          <w:ilvl w:val="0"/>
          <w:numId w:val="0"/>
        </w:numPr>
        <w:rPr>
          <w:lang w:val="fr-FR"/>
        </w:rPr>
      </w:pPr>
      <w:r w:rsidRPr="00652D04">
        <w:rPr>
          <w:lang w:val="fr-FR"/>
        </w:rPr>
        <w:t>b)</w:t>
      </w:r>
      <w:r w:rsidRPr="00652D04">
        <w:rPr>
          <w:lang w:val="fr-FR"/>
        </w:rPr>
        <w:tab/>
        <w:t>en ce qui concerne le document WO/GA/47/11, intitulé “Décision sur les questions concernant le Comité du développement et de la propriété intellectuelle (CDIP)”, a permis</w:t>
      </w:r>
      <w:r w:rsidR="00D67156" w:rsidRPr="00652D04">
        <w:rPr>
          <w:lang w:val="fr-FR"/>
        </w:rPr>
        <w:t xml:space="preserve"> au CDI</w:t>
      </w:r>
      <w:r w:rsidRPr="00652D04">
        <w:rPr>
          <w:lang w:val="fr-FR"/>
        </w:rPr>
        <w:t>P de poursuivre, à ses seizième et dix</w:t>
      </w:r>
      <w:r w:rsidR="00E70920" w:rsidRPr="00652D04">
        <w:rPr>
          <w:lang w:val="fr-FR"/>
        </w:rPr>
        <w:noBreakHyphen/>
      </w:r>
      <w:r w:rsidRPr="00652D04">
        <w:rPr>
          <w:lang w:val="fr-FR"/>
        </w:rPr>
        <w:t>septième</w:t>
      </w:r>
      <w:r w:rsidR="00B03A49" w:rsidRPr="00652D04">
        <w:rPr>
          <w:lang w:val="fr-FR"/>
        </w:rPr>
        <w:t> </w:t>
      </w:r>
      <w:r w:rsidRPr="00652D04">
        <w:rPr>
          <w:lang w:val="fr-FR"/>
        </w:rPr>
        <w:t>sessions, le débat concernant la décision sur les questions concernant</w:t>
      </w:r>
      <w:r w:rsidR="00D67156" w:rsidRPr="00652D04">
        <w:rPr>
          <w:lang w:val="fr-FR"/>
        </w:rPr>
        <w:t xml:space="preserve"> le CDI</w:t>
      </w:r>
      <w:r w:rsidRPr="00652D04">
        <w:rPr>
          <w:lang w:val="fr-FR"/>
        </w:rPr>
        <w:t>P adoptée à la quarante</w:t>
      </w:r>
      <w:r w:rsidR="00E70920" w:rsidRPr="00652D04">
        <w:rPr>
          <w:lang w:val="fr-FR"/>
        </w:rPr>
        <w:noBreakHyphen/>
      </w:r>
      <w:r w:rsidRPr="00652D04">
        <w:rPr>
          <w:lang w:val="fr-FR"/>
        </w:rPr>
        <w:t>troisième</w:t>
      </w:r>
      <w:r w:rsidR="00B03A49" w:rsidRPr="00652D04">
        <w:rPr>
          <w:lang w:val="fr-FR"/>
        </w:rPr>
        <w:t> </w:t>
      </w:r>
      <w:r w:rsidRPr="00652D04">
        <w:rPr>
          <w:lang w:val="fr-FR"/>
        </w:rPr>
        <w:t>session de l</w:t>
      </w:r>
      <w:r w:rsidR="00D67156" w:rsidRPr="00652D04">
        <w:rPr>
          <w:lang w:val="fr-FR"/>
        </w:rPr>
        <w:t>’</w:t>
      </w:r>
      <w:r w:rsidRPr="00652D04">
        <w:rPr>
          <w:lang w:val="fr-FR"/>
        </w:rPr>
        <w:t>Assemblée générale de l</w:t>
      </w:r>
      <w:r w:rsidR="00D67156" w:rsidRPr="00652D04">
        <w:rPr>
          <w:lang w:val="fr-FR"/>
        </w:rPr>
        <w:t>’</w:t>
      </w:r>
      <w:r w:rsidRPr="00652D04">
        <w:rPr>
          <w:lang w:val="fr-FR"/>
        </w:rPr>
        <w:t>OMPI (document CDIP/12/5), d</w:t>
      </w:r>
      <w:r w:rsidR="00D67156" w:rsidRPr="00652D04">
        <w:rPr>
          <w:lang w:val="fr-FR"/>
        </w:rPr>
        <w:t>’</w:t>
      </w:r>
      <w:r w:rsidRPr="00652D04">
        <w:rPr>
          <w:lang w:val="fr-FR"/>
        </w:rPr>
        <w:t>en rendre compte et de faire des recommandations sur ces deux</w:t>
      </w:r>
      <w:r w:rsidR="00B03A49" w:rsidRPr="00652D04">
        <w:rPr>
          <w:lang w:val="fr-FR"/>
        </w:rPr>
        <w:t> </w:t>
      </w:r>
      <w:r w:rsidRPr="00652D04">
        <w:rPr>
          <w:lang w:val="fr-FR"/>
        </w:rPr>
        <w:t>questions à l</w:t>
      </w:r>
      <w:r w:rsidR="00D67156" w:rsidRPr="00652D04">
        <w:rPr>
          <w:lang w:val="fr-FR"/>
        </w:rPr>
        <w:t>’</w:t>
      </w:r>
      <w:r w:rsidRPr="00652D04">
        <w:rPr>
          <w:lang w:val="fr-FR"/>
        </w:rPr>
        <w:t>Assemblée générale de l</w:t>
      </w:r>
      <w:r w:rsidR="00D67156" w:rsidRPr="00652D04">
        <w:rPr>
          <w:lang w:val="fr-FR"/>
        </w:rPr>
        <w:t>’</w:t>
      </w:r>
      <w:r w:rsidRPr="00652D04">
        <w:rPr>
          <w:lang w:val="fr-FR"/>
        </w:rPr>
        <w:t>OMPI en</w:t>
      </w:r>
      <w:r w:rsidR="00B03A49" w:rsidRPr="00652D04">
        <w:rPr>
          <w:lang w:val="fr-FR"/>
        </w:rPr>
        <w:t> </w:t>
      </w:r>
      <w:r w:rsidRPr="00652D04">
        <w:rPr>
          <w:lang w:val="fr-FR"/>
        </w:rPr>
        <w:t>2016.</w:t>
      </w:r>
    </w:p>
    <w:p w:rsidR="000006CC" w:rsidRPr="00652D04" w:rsidRDefault="008B096E" w:rsidP="008B096E">
      <w:pPr>
        <w:pStyle w:val="Heading2"/>
        <w:rPr>
          <w:lang w:val="fr-FR"/>
        </w:rPr>
      </w:pPr>
      <w:r w:rsidRPr="00652D04">
        <w:rPr>
          <w:lang w:val="fr-FR"/>
        </w:rPr>
        <w:t>Point</w:t>
      </w:r>
      <w:r w:rsidR="00B03A49" w:rsidRPr="00652D04">
        <w:rPr>
          <w:lang w:val="fr-FR"/>
        </w:rPr>
        <w:t> </w:t>
      </w:r>
      <w:r w:rsidRPr="00652D04">
        <w:rPr>
          <w:lang w:val="fr-FR"/>
        </w:rPr>
        <w:t>17 de l</w:t>
      </w:r>
      <w:r w:rsidR="00D67156" w:rsidRPr="00652D04">
        <w:rPr>
          <w:lang w:val="fr-FR"/>
        </w:rPr>
        <w:t>’</w:t>
      </w:r>
      <w:r w:rsidRPr="00652D04">
        <w:rPr>
          <w:lang w:val="fr-FR"/>
        </w:rPr>
        <w:t>ordre du jour unifié</w:t>
      </w:r>
    </w:p>
    <w:p w:rsidR="000006CC" w:rsidRPr="00652D04" w:rsidRDefault="008B096E" w:rsidP="008B096E">
      <w:pPr>
        <w:pStyle w:val="Heading2"/>
        <w:rPr>
          <w:szCs w:val="22"/>
          <w:lang w:val="fr-FR"/>
        </w:rPr>
      </w:pPr>
      <w:r w:rsidRPr="00652D04">
        <w:rPr>
          <w:szCs w:val="22"/>
          <w:lang w:val="fr-FR"/>
        </w:rPr>
        <w:t>Questions concernant le Comité intergouvernemental de la propriété intellectuelle relative aux ressources génétiques, aux savoirs traditionnels et au folklore (IGC)</w:t>
      </w:r>
    </w:p>
    <w:p w:rsidR="000006CC" w:rsidRPr="00652D04" w:rsidRDefault="000006CC" w:rsidP="00A70460">
      <w:pPr>
        <w:rPr>
          <w:lang w:val="fr-FR"/>
        </w:rPr>
      </w:pPr>
    </w:p>
    <w:p w:rsidR="000006CC" w:rsidRPr="00652D04" w:rsidRDefault="00534437" w:rsidP="00534437">
      <w:pPr>
        <w:pStyle w:val="ONUMFS"/>
        <w:numPr>
          <w:ilvl w:val="0"/>
          <w:numId w:val="0"/>
        </w:numPr>
        <w:rPr>
          <w:lang w:val="fr-FR" w:eastAsia="en-US"/>
        </w:rPr>
      </w:pPr>
      <w:r w:rsidRPr="00652D04">
        <w:rPr>
          <w:lang w:val="fr-FR" w:eastAsia="en-US"/>
        </w:rPr>
        <w:t>Compte tenu des recommandations du Plan d</w:t>
      </w:r>
      <w:r w:rsidR="00D67156" w:rsidRPr="00652D04">
        <w:rPr>
          <w:lang w:val="fr-FR" w:eastAsia="en-US"/>
        </w:rPr>
        <w:t>’</w:t>
      </w:r>
      <w:r w:rsidRPr="00652D04">
        <w:rPr>
          <w:lang w:val="fr-FR" w:eastAsia="en-US"/>
        </w:rPr>
        <w:t>action pour le développement et eu égard aux progrès réalisés, l</w:t>
      </w:r>
      <w:r w:rsidR="00D67156" w:rsidRPr="00652D04">
        <w:rPr>
          <w:lang w:val="fr-FR" w:eastAsia="en-US"/>
        </w:rPr>
        <w:t>’</w:t>
      </w:r>
      <w:r w:rsidRPr="00652D04">
        <w:rPr>
          <w:lang w:val="fr-FR" w:eastAsia="en-US"/>
        </w:rPr>
        <w:t>Assemblée générale de l</w:t>
      </w:r>
      <w:r w:rsidR="00D67156" w:rsidRPr="00652D04">
        <w:rPr>
          <w:lang w:val="fr-FR" w:eastAsia="en-US"/>
        </w:rPr>
        <w:t>’</w:t>
      </w:r>
      <w:r w:rsidRPr="00652D04">
        <w:rPr>
          <w:lang w:val="fr-FR" w:eastAsia="en-US"/>
        </w:rPr>
        <w:t>OMPI décide de renouveler le mandat du Comité intergouvernemental de la propriété intellectuelle relative aux ressources génétiques, aux savoirs traditionnels et au folklore (ci</w:t>
      </w:r>
      <w:r w:rsidR="00E70920" w:rsidRPr="00652D04">
        <w:rPr>
          <w:lang w:val="fr-FR" w:eastAsia="en-US"/>
        </w:rPr>
        <w:noBreakHyphen/>
      </w:r>
      <w:r w:rsidRPr="00652D04">
        <w:rPr>
          <w:lang w:val="fr-FR" w:eastAsia="en-US"/>
        </w:rPr>
        <w:t>après dénommé “comité”), sans préjuger des travaux menés dans d</w:t>
      </w:r>
      <w:r w:rsidR="00D67156" w:rsidRPr="00652D04">
        <w:rPr>
          <w:lang w:val="fr-FR" w:eastAsia="en-US"/>
        </w:rPr>
        <w:t>’</w:t>
      </w:r>
      <w:r w:rsidRPr="00652D04">
        <w:rPr>
          <w:lang w:val="fr-FR" w:eastAsia="en-US"/>
        </w:rPr>
        <w:t>autres instances, selon les modalités suivantes :</w:t>
      </w:r>
    </w:p>
    <w:p w:rsidR="000006CC" w:rsidRPr="00652D04" w:rsidRDefault="00534437" w:rsidP="00534437">
      <w:pPr>
        <w:pStyle w:val="ONUMFS"/>
        <w:numPr>
          <w:ilvl w:val="1"/>
          <w:numId w:val="6"/>
        </w:numPr>
        <w:rPr>
          <w:lang w:val="fr-FR" w:eastAsia="en-US"/>
        </w:rPr>
      </w:pPr>
      <w:r w:rsidRPr="00652D04">
        <w:rPr>
          <w:lang w:val="fr-FR" w:eastAsia="en-US"/>
        </w:rPr>
        <w:t>Au cours du prochain exercice biennal (2016</w:t>
      </w:r>
      <w:r w:rsidR="00E70920" w:rsidRPr="00652D04">
        <w:rPr>
          <w:lang w:val="fr-FR" w:eastAsia="en-US"/>
        </w:rPr>
        <w:noBreakHyphen/>
      </w:r>
      <w:r w:rsidRPr="00652D04">
        <w:rPr>
          <w:lang w:val="fr-FR" w:eastAsia="en-US"/>
        </w:rPr>
        <w:t>2017), le comité continuera d</w:t>
      </w:r>
      <w:r w:rsidR="00D67156" w:rsidRPr="00652D04">
        <w:rPr>
          <w:lang w:val="fr-FR" w:eastAsia="en-US"/>
        </w:rPr>
        <w:t>’</w:t>
      </w:r>
      <w:r w:rsidRPr="00652D04">
        <w:rPr>
          <w:lang w:val="fr-FR" w:eastAsia="en-US"/>
        </w:rPr>
        <w:t>accélérer ses travaux en vue de réduire les divergences actuelles</w:t>
      </w:r>
      <w:r w:rsidRPr="00652D04">
        <w:rPr>
          <w:spacing w:val="1"/>
          <w:lang w:val="fr-FR" w:eastAsia="en-US"/>
        </w:rPr>
        <w:t xml:space="preserve"> en s</w:t>
      </w:r>
      <w:r w:rsidR="00D67156" w:rsidRPr="00652D04">
        <w:rPr>
          <w:spacing w:val="1"/>
          <w:lang w:val="fr-FR" w:eastAsia="en-US"/>
        </w:rPr>
        <w:t>’</w:t>
      </w:r>
      <w:r w:rsidRPr="00652D04">
        <w:rPr>
          <w:spacing w:val="1"/>
          <w:lang w:val="fr-FR" w:eastAsia="en-US"/>
        </w:rPr>
        <w:t xml:space="preserve">engageant pleinement et de manière ouverte, </w:t>
      </w:r>
      <w:r w:rsidR="00D67156" w:rsidRPr="00652D04">
        <w:rPr>
          <w:spacing w:val="1"/>
          <w:lang w:val="fr-FR" w:eastAsia="en-US"/>
        </w:rPr>
        <w:t>y compris</w:t>
      </w:r>
      <w:r w:rsidRPr="00652D04">
        <w:rPr>
          <w:spacing w:val="1"/>
          <w:lang w:val="fr-FR" w:eastAsia="en-US"/>
        </w:rPr>
        <w:t xml:space="preserve"> en ce qui concerne les négociations sur la base d</w:t>
      </w:r>
      <w:r w:rsidR="00D67156" w:rsidRPr="00652D04">
        <w:rPr>
          <w:spacing w:val="1"/>
          <w:lang w:val="fr-FR" w:eastAsia="en-US"/>
        </w:rPr>
        <w:t>’</w:t>
      </w:r>
      <w:r w:rsidRPr="00652D04">
        <w:rPr>
          <w:spacing w:val="1"/>
          <w:lang w:val="fr-FR" w:eastAsia="en-US"/>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Pr="00652D04">
        <w:rPr>
          <w:lang w:val="fr-FR" w:eastAsia="en-US"/>
        </w:rPr>
        <w:t>.</w:t>
      </w:r>
    </w:p>
    <w:p w:rsidR="000006CC" w:rsidRPr="00652D04" w:rsidRDefault="00534437" w:rsidP="00421208">
      <w:pPr>
        <w:pStyle w:val="ONUMFS"/>
        <w:numPr>
          <w:ilvl w:val="1"/>
          <w:numId w:val="6"/>
        </w:numPr>
        <w:rPr>
          <w:lang w:val="fr-FR" w:eastAsia="en-US"/>
        </w:rPr>
      </w:pPr>
      <w:r w:rsidRPr="00652D04">
        <w:rPr>
          <w:rFonts w:eastAsia="Times New Roman"/>
          <w:lang w:val="fr-FR" w:eastAsia="de-CH"/>
        </w:rPr>
        <w:t>Au cours de l</w:t>
      </w:r>
      <w:r w:rsidR="00D67156" w:rsidRPr="00652D04">
        <w:rPr>
          <w:rFonts w:eastAsia="Times New Roman"/>
          <w:lang w:val="fr-FR" w:eastAsia="de-CH"/>
        </w:rPr>
        <w:t>’</w:t>
      </w:r>
      <w:r w:rsidRPr="00652D04">
        <w:rPr>
          <w:rFonts w:eastAsia="Times New Roman"/>
          <w:lang w:val="fr-FR" w:eastAsia="de-CH"/>
        </w:rPr>
        <w:t>exercice biennal 2016</w:t>
      </w:r>
      <w:r w:rsidR="00E70920" w:rsidRPr="00652D04">
        <w:rPr>
          <w:rFonts w:eastAsia="MS Gothic"/>
          <w:lang w:val="fr-FR" w:eastAsia="de-CH"/>
        </w:rPr>
        <w:noBreakHyphen/>
      </w:r>
      <w:r w:rsidRPr="00652D04">
        <w:rPr>
          <w:rFonts w:eastAsia="Times New Roman"/>
          <w:lang w:val="fr-FR" w:eastAsia="de-CH"/>
        </w:rPr>
        <w:t>2017, le comité s</w:t>
      </w:r>
      <w:r w:rsidR="00D67156" w:rsidRPr="00652D04">
        <w:rPr>
          <w:rFonts w:eastAsia="Times New Roman"/>
          <w:lang w:val="fr-FR" w:eastAsia="de-CH"/>
        </w:rPr>
        <w:t>’</w:t>
      </w:r>
      <w:r w:rsidRPr="00652D04">
        <w:rPr>
          <w:rFonts w:eastAsia="Times New Roman"/>
          <w:lang w:val="fr-FR" w:eastAsia="de-CH"/>
        </w:rPr>
        <w:t>appuiera sur les activités qu</w:t>
      </w:r>
      <w:r w:rsidR="00D67156" w:rsidRPr="00652D04">
        <w:rPr>
          <w:rFonts w:eastAsia="Times New Roman"/>
          <w:lang w:val="fr-FR" w:eastAsia="de-CH"/>
        </w:rPr>
        <w:t>’</w:t>
      </w:r>
      <w:r w:rsidRPr="00652D04">
        <w:rPr>
          <w:rFonts w:eastAsia="Times New Roman"/>
          <w:lang w:val="fr-FR" w:eastAsia="de-CH"/>
        </w:rPr>
        <w:t xml:space="preserve">il a déjà réalisées </w:t>
      </w:r>
      <w:r w:rsidR="00421208" w:rsidRPr="00652D04">
        <w:rPr>
          <w:rFonts w:eastAsia="Times New Roman"/>
          <w:lang w:val="fr-FR" w:eastAsia="de-CH"/>
        </w:rPr>
        <w:t>en s</w:t>
      </w:r>
      <w:r w:rsidR="00D67156" w:rsidRPr="00652D04">
        <w:rPr>
          <w:rFonts w:eastAsia="Times New Roman"/>
          <w:lang w:val="fr-FR" w:eastAsia="de-CH"/>
        </w:rPr>
        <w:t>’</w:t>
      </w:r>
      <w:r w:rsidR="00421208" w:rsidRPr="00652D04">
        <w:rPr>
          <w:rFonts w:eastAsia="Times New Roman"/>
          <w:lang w:val="fr-FR" w:eastAsia="de-CH"/>
        </w:rPr>
        <w:t>efforçant principalement de parvenir à une communauté de vues sur les questions essentielles telles que</w:t>
      </w:r>
      <w:r w:rsidRPr="00652D04">
        <w:rPr>
          <w:rFonts w:eastAsia="Times New Roman"/>
          <w:lang w:val="fr-FR" w:eastAsia="de-CH"/>
        </w:rPr>
        <w:t xml:space="preserve"> la définition de l</w:t>
      </w:r>
      <w:r w:rsidR="00D67156" w:rsidRPr="00652D04">
        <w:rPr>
          <w:rFonts w:eastAsia="Times New Roman"/>
          <w:lang w:val="fr-FR" w:eastAsia="de-CH"/>
        </w:rPr>
        <w:t>’</w:t>
      </w:r>
      <w:r w:rsidRPr="00652D04">
        <w:rPr>
          <w:rFonts w:eastAsia="Times New Roman"/>
          <w:lang w:val="fr-FR" w:eastAsia="de-CH"/>
        </w:rPr>
        <w:t>appropriation illicite, les bénéficiaires, l</w:t>
      </w:r>
      <w:r w:rsidR="00D67156" w:rsidRPr="00652D04">
        <w:rPr>
          <w:rFonts w:eastAsia="Times New Roman"/>
          <w:lang w:val="fr-FR" w:eastAsia="de-CH"/>
        </w:rPr>
        <w:t>’</w:t>
      </w:r>
      <w:r w:rsidRPr="00652D04">
        <w:rPr>
          <w:rFonts w:eastAsia="Times New Roman"/>
          <w:lang w:val="fr-FR" w:eastAsia="de-CH"/>
        </w:rPr>
        <w:t>objet de la protection, les objectifs, et le point de savoir quels objets relevant des savoirs traditionnels ou des expressions culturelles traditionnelles peuvent bénéficier d</w:t>
      </w:r>
      <w:r w:rsidR="00D67156" w:rsidRPr="00652D04">
        <w:rPr>
          <w:rFonts w:eastAsia="Times New Roman"/>
          <w:lang w:val="fr-FR" w:eastAsia="de-CH"/>
        </w:rPr>
        <w:t>’</w:t>
      </w:r>
      <w:r w:rsidRPr="00652D04">
        <w:rPr>
          <w:rFonts w:eastAsia="Times New Roman"/>
          <w:lang w:val="fr-FR" w:eastAsia="de-CH"/>
        </w:rPr>
        <w:t xml:space="preserve">une protection au niveau international, </w:t>
      </w:r>
      <w:r w:rsidR="00D67156" w:rsidRPr="00652D04">
        <w:rPr>
          <w:rFonts w:eastAsia="Times New Roman"/>
          <w:lang w:val="fr-FR" w:eastAsia="de-CH"/>
        </w:rPr>
        <w:t>y compris</w:t>
      </w:r>
      <w:r w:rsidRPr="00652D04">
        <w:rPr>
          <w:rFonts w:eastAsia="Times New Roman"/>
          <w:lang w:val="fr-FR" w:eastAsia="de-CH"/>
        </w:rPr>
        <w:t xml:space="preserve"> la prise en considération des exceptions et </w:t>
      </w:r>
      <w:r w:rsidRPr="00652D04">
        <w:rPr>
          <w:lang w:val="fr-FR" w:eastAsia="de-CH"/>
        </w:rPr>
        <w:t>limitations et des rapports avec le domaine public.</w:t>
      </w:r>
    </w:p>
    <w:p w:rsidR="000006CC" w:rsidRPr="00652D04" w:rsidRDefault="00534437" w:rsidP="00534437">
      <w:pPr>
        <w:pStyle w:val="ONUMFS"/>
        <w:numPr>
          <w:ilvl w:val="1"/>
          <w:numId w:val="6"/>
        </w:numPr>
        <w:rPr>
          <w:lang w:val="fr-FR" w:eastAsia="en-US"/>
        </w:rPr>
      </w:pPr>
      <w:r w:rsidRPr="00652D04">
        <w:rPr>
          <w:lang w:val="fr-FR" w:eastAsia="en-US"/>
        </w:rPr>
        <w:t>Le comité suivra, comme indiqué dans le tableau ci</w:t>
      </w:r>
      <w:r w:rsidR="00E70920" w:rsidRPr="00652D04">
        <w:rPr>
          <w:lang w:val="fr-FR" w:eastAsia="en-US"/>
        </w:rPr>
        <w:noBreakHyphen/>
      </w:r>
      <w:r w:rsidRPr="00652D04">
        <w:rPr>
          <w:lang w:val="fr-FR" w:eastAsia="en-US"/>
        </w:rPr>
        <w:t>dessous, un programme de travail bien défini, fondé sur des méthodes de travail viables, pour l</w:t>
      </w:r>
      <w:r w:rsidR="00D67156" w:rsidRPr="00652D04">
        <w:rPr>
          <w:lang w:val="fr-FR" w:eastAsia="en-US"/>
        </w:rPr>
        <w:t>’</w:t>
      </w:r>
      <w:r w:rsidRPr="00652D04">
        <w:rPr>
          <w:lang w:val="fr-FR" w:eastAsia="en-US"/>
        </w:rPr>
        <w:t>exercice biennal 2016</w:t>
      </w:r>
      <w:r w:rsidR="00E70920" w:rsidRPr="00652D04">
        <w:rPr>
          <w:lang w:val="fr-FR" w:eastAsia="en-US"/>
        </w:rPr>
        <w:noBreakHyphen/>
      </w:r>
      <w:r w:rsidRPr="00652D04">
        <w:rPr>
          <w:lang w:val="fr-FR" w:eastAsia="en-US"/>
        </w:rPr>
        <w:t>2017.  Ce programme de travail prévoira six sessions du comité au cours de l</w:t>
      </w:r>
      <w:r w:rsidR="00D67156" w:rsidRPr="00652D04">
        <w:rPr>
          <w:lang w:val="fr-FR" w:eastAsia="en-US"/>
        </w:rPr>
        <w:t>’</w:t>
      </w:r>
      <w:r w:rsidRPr="00652D04">
        <w:rPr>
          <w:lang w:val="fr-FR" w:eastAsia="en-US"/>
        </w:rPr>
        <w:t>exercice 2016</w:t>
      </w:r>
      <w:r w:rsidR="00E70920" w:rsidRPr="00652D04">
        <w:rPr>
          <w:lang w:val="fr-FR" w:eastAsia="en-US"/>
        </w:rPr>
        <w:noBreakHyphen/>
      </w:r>
      <w:r w:rsidRPr="00652D04">
        <w:rPr>
          <w:lang w:val="fr-FR" w:eastAsia="en-US"/>
        </w:rPr>
        <w:t xml:space="preserve">2017, </w:t>
      </w:r>
      <w:r w:rsidR="00D67156" w:rsidRPr="00652D04">
        <w:rPr>
          <w:lang w:val="fr-FR" w:eastAsia="en-US"/>
        </w:rPr>
        <w:t>y compris</w:t>
      </w:r>
      <w:r w:rsidRPr="00652D04">
        <w:rPr>
          <w:lang w:val="fr-FR" w:eastAsia="en-US"/>
        </w:rPr>
        <w:t xml:space="preserve"> des sessions thématiques, des débats transversaux et des bila</w:t>
      </w:r>
      <w:r w:rsidR="00E70920" w:rsidRPr="00652D04">
        <w:rPr>
          <w:lang w:val="fr-FR" w:eastAsia="en-US"/>
        </w:rPr>
        <w:t>ns.  Le</w:t>
      </w:r>
      <w:r w:rsidRPr="00652D04">
        <w:rPr>
          <w:lang w:val="fr-FR" w:eastAsia="en-US"/>
        </w:rPr>
        <w:t xml:space="preserve"> comité peut décider de créer un ou plusieurs comités d</w:t>
      </w:r>
      <w:r w:rsidR="00D67156" w:rsidRPr="00652D04">
        <w:rPr>
          <w:lang w:val="fr-FR" w:eastAsia="en-US"/>
        </w:rPr>
        <w:t>’</w:t>
      </w:r>
      <w:r w:rsidRPr="00652D04">
        <w:rPr>
          <w:lang w:val="fr-FR" w:eastAsia="en-US"/>
        </w:rPr>
        <w:t>experts et de tenir d</w:t>
      </w:r>
      <w:r w:rsidR="00D67156" w:rsidRPr="00652D04">
        <w:rPr>
          <w:lang w:val="fr-FR" w:eastAsia="en-US"/>
        </w:rPr>
        <w:t>’</w:t>
      </w:r>
      <w:r w:rsidRPr="00652D04">
        <w:rPr>
          <w:lang w:val="fr-FR" w:eastAsia="en-US"/>
        </w:rPr>
        <w:t>autres réunions à l</w:t>
      </w:r>
      <w:r w:rsidR="00D67156" w:rsidRPr="00652D04">
        <w:rPr>
          <w:lang w:val="fr-FR" w:eastAsia="en-US"/>
        </w:rPr>
        <w:t>’</w:t>
      </w:r>
      <w:r w:rsidRPr="00652D04">
        <w:rPr>
          <w:lang w:val="fr-FR" w:eastAsia="en-US"/>
        </w:rPr>
        <w:t>intention des ambassadeurs et des hauts fonctionnaires des différents pays pendant les futures sessions du comité.</w:t>
      </w:r>
    </w:p>
    <w:p w:rsidR="000006CC" w:rsidRPr="00652D04" w:rsidRDefault="00534437" w:rsidP="00534437">
      <w:pPr>
        <w:pStyle w:val="ONUMFS"/>
        <w:numPr>
          <w:ilvl w:val="1"/>
          <w:numId w:val="6"/>
        </w:numPr>
        <w:rPr>
          <w:lang w:val="fr-FR" w:eastAsia="en-US"/>
        </w:rPr>
      </w:pPr>
      <w:r w:rsidRPr="00652D04">
        <w:rPr>
          <w:rFonts w:eastAsia="Times New Roman"/>
          <w:lang w:val="fr-FR" w:eastAsia="de-CH"/>
        </w:rPr>
        <w:lastRenderedPageBreak/>
        <w:t>Le comité s</w:t>
      </w:r>
      <w:r w:rsidR="00D67156" w:rsidRPr="00652D04">
        <w:rPr>
          <w:rFonts w:eastAsia="Times New Roman"/>
          <w:lang w:val="fr-FR" w:eastAsia="de-CH"/>
        </w:rPr>
        <w:t>’</w:t>
      </w:r>
      <w:r w:rsidRPr="00652D04">
        <w:rPr>
          <w:rFonts w:eastAsia="Times New Roman"/>
          <w:lang w:val="fr-FR" w:eastAsia="de-CH"/>
        </w:rPr>
        <w:t>appuiera sur tous les documents de travail de l</w:t>
      </w:r>
      <w:r w:rsidR="00D67156" w:rsidRPr="00652D04">
        <w:rPr>
          <w:rFonts w:eastAsia="Times New Roman"/>
          <w:lang w:val="fr-FR" w:eastAsia="de-CH"/>
        </w:rPr>
        <w:t>’</w:t>
      </w:r>
      <w:r w:rsidRPr="00652D04">
        <w:rPr>
          <w:rFonts w:eastAsia="Times New Roman"/>
          <w:lang w:val="fr-FR" w:eastAsia="de-CH"/>
        </w:rPr>
        <w:t xml:space="preserve">OMPI, notamment les documents </w:t>
      </w:r>
      <w:r w:rsidRPr="00652D04">
        <w:rPr>
          <w:rFonts w:eastAsia="Times New Roman"/>
          <w:spacing w:val="5"/>
          <w:lang w:val="fr-FR" w:eastAsia="de-CH"/>
        </w:rPr>
        <w:t>W</w:t>
      </w:r>
      <w:r w:rsidRPr="00652D04">
        <w:rPr>
          <w:rFonts w:eastAsia="Times New Roman"/>
          <w:spacing w:val="-2"/>
          <w:lang w:val="fr-FR" w:eastAsia="de-CH"/>
        </w:rPr>
        <w:t>I</w:t>
      </w:r>
      <w:r w:rsidRPr="00652D04">
        <w:rPr>
          <w:rFonts w:eastAsia="Times New Roman"/>
          <w:spacing w:val="-4"/>
          <w:lang w:val="fr-FR" w:eastAsia="de-CH"/>
        </w:rPr>
        <w:t>P</w:t>
      </w:r>
      <w:r w:rsidRPr="00652D04">
        <w:rPr>
          <w:rFonts w:eastAsia="Times New Roman"/>
          <w:spacing w:val="-2"/>
          <w:lang w:val="fr-FR" w:eastAsia="de-CH"/>
        </w:rPr>
        <w:t>O/</w:t>
      </w:r>
      <w:r w:rsidRPr="00652D04">
        <w:rPr>
          <w:rFonts w:eastAsia="Times New Roman"/>
          <w:spacing w:val="1"/>
          <w:lang w:val="fr-FR" w:eastAsia="de-CH"/>
        </w:rPr>
        <w:t>G</w:t>
      </w:r>
      <w:r w:rsidRPr="00652D04">
        <w:rPr>
          <w:rFonts w:eastAsia="Times New Roman"/>
          <w:spacing w:val="-4"/>
          <w:lang w:val="fr-FR" w:eastAsia="de-CH"/>
        </w:rPr>
        <w:t>R</w:t>
      </w:r>
      <w:r w:rsidRPr="00652D04">
        <w:rPr>
          <w:rFonts w:eastAsia="Times New Roman"/>
          <w:spacing w:val="1"/>
          <w:lang w:val="fr-FR" w:eastAsia="de-CH"/>
        </w:rPr>
        <w:t>T</w:t>
      </w:r>
      <w:r w:rsidRPr="00652D04">
        <w:rPr>
          <w:rFonts w:eastAsia="Times New Roman"/>
          <w:spacing w:val="-1"/>
          <w:lang w:val="fr-FR" w:eastAsia="de-CH"/>
        </w:rPr>
        <w:t>KF</w:t>
      </w:r>
      <w:r w:rsidRPr="00652D04">
        <w:rPr>
          <w:rFonts w:eastAsia="Times New Roman"/>
          <w:spacing w:val="1"/>
          <w:lang w:val="fr-FR" w:eastAsia="de-CH"/>
        </w:rPr>
        <w:t>/I</w:t>
      </w:r>
      <w:r w:rsidRPr="00652D04">
        <w:rPr>
          <w:rFonts w:eastAsia="Times New Roman"/>
          <w:spacing w:val="-4"/>
          <w:lang w:val="fr-FR" w:eastAsia="de-CH"/>
        </w:rPr>
        <w:t>C</w:t>
      </w:r>
      <w:r w:rsidRPr="00652D04">
        <w:rPr>
          <w:rFonts w:eastAsia="Times New Roman"/>
          <w:spacing w:val="1"/>
          <w:lang w:val="fr-FR" w:eastAsia="de-CH"/>
        </w:rPr>
        <w:t>/28/4,</w:t>
      </w:r>
      <w:r w:rsidRPr="00652D04">
        <w:rPr>
          <w:rFonts w:eastAsia="Times New Roman"/>
          <w:lang w:val="fr-FR" w:eastAsia="de-CH"/>
        </w:rPr>
        <w:t xml:space="preserve"> </w:t>
      </w:r>
      <w:r w:rsidRPr="00652D04">
        <w:rPr>
          <w:rFonts w:eastAsia="Times New Roman"/>
          <w:spacing w:val="5"/>
          <w:lang w:val="fr-FR" w:eastAsia="de-CH"/>
        </w:rPr>
        <w:t>W</w:t>
      </w:r>
      <w:r w:rsidRPr="00652D04">
        <w:rPr>
          <w:rFonts w:eastAsia="Times New Roman"/>
          <w:spacing w:val="-2"/>
          <w:lang w:val="fr-FR" w:eastAsia="de-CH"/>
        </w:rPr>
        <w:t>I</w:t>
      </w:r>
      <w:r w:rsidRPr="00652D04">
        <w:rPr>
          <w:rFonts w:eastAsia="Times New Roman"/>
          <w:spacing w:val="-4"/>
          <w:lang w:val="fr-FR" w:eastAsia="de-CH"/>
        </w:rPr>
        <w:t>P</w:t>
      </w:r>
      <w:r w:rsidRPr="00652D04">
        <w:rPr>
          <w:rFonts w:eastAsia="Times New Roman"/>
          <w:spacing w:val="-2"/>
          <w:lang w:val="fr-FR" w:eastAsia="de-CH"/>
        </w:rPr>
        <w:t>O/</w:t>
      </w:r>
      <w:r w:rsidRPr="00652D04">
        <w:rPr>
          <w:rFonts w:eastAsia="Times New Roman"/>
          <w:spacing w:val="1"/>
          <w:lang w:val="fr-FR" w:eastAsia="de-CH"/>
        </w:rPr>
        <w:t>G</w:t>
      </w:r>
      <w:r w:rsidRPr="00652D04">
        <w:rPr>
          <w:rFonts w:eastAsia="Times New Roman"/>
          <w:spacing w:val="-4"/>
          <w:lang w:val="fr-FR" w:eastAsia="de-CH"/>
        </w:rPr>
        <w:t>R</w:t>
      </w:r>
      <w:r w:rsidRPr="00652D04">
        <w:rPr>
          <w:rFonts w:eastAsia="Times New Roman"/>
          <w:spacing w:val="1"/>
          <w:lang w:val="fr-FR" w:eastAsia="de-CH"/>
        </w:rPr>
        <w:t>T</w:t>
      </w:r>
      <w:r w:rsidRPr="00652D04">
        <w:rPr>
          <w:rFonts w:eastAsia="Times New Roman"/>
          <w:spacing w:val="-1"/>
          <w:lang w:val="fr-FR" w:eastAsia="de-CH"/>
        </w:rPr>
        <w:t>KF</w:t>
      </w:r>
      <w:r w:rsidRPr="00652D04">
        <w:rPr>
          <w:rFonts w:eastAsia="Times New Roman"/>
          <w:spacing w:val="1"/>
          <w:lang w:val="fr-FR" w:eastAsia="de-CH"/>
        </w:rPr>
        <w:t>/I</w:t>
      </w:r>
      <w:r w:rsidRPr="00652D04">
        <w:rPr>
          <w:rFonts w:eastAsia="Times New Roman"/>
          <w:spacing w:val="-4"/>
          <w:lang w:val="fr-FR" w:eastAsia="de-CH"/>
        </w:rPr>
        <w:t>C</w:t>
      </w:r>
      <w:r w:rsidRPr="00652D04">
        <w:rPr>
          <w:rFonts w:eastAsia="Times New Roman"/>
          <w:spacing w:val="1"/>
          <w:lang w:val="fr-FR" w:eastAsia="de-CH"/>
        </w:rPr>
        <w:t>/28/5</w:t>
      </w:r>
      <w:r w:rsidRPr="00652D04">
        <w:rPr>
          <w:rFonts w:eastAsia="Times New Roman"/>
          <w:spacing w:val="-2"/>
          <w:lang w:val="fr-FR" w:eastAsia="de-CH"/>
        </w:rPr>
        <w:t xml:space="preserve"> et</w:t>
      </w:r>
      <w:r w:rsidRPr="00652D04">
        <w:rPr>
          <w:rFonts w:eastAsia="Times New Roman"/>
          <w:spacing w:val="-4"/>
          <w:lang w:val="fr-FR" w:eastAsia="de-CH"/>
        </w:rPr>
        <w:t xml:space="preserve"> </w:t>
      </w:r>
      <w:r w:rsidRPr="00652D04">
        <w:rPr>
          <w:rFonts w:eastAsia="Times New Roman"/>
          <w:spacing w:val="5"/>
          <w:lang w:val="fr-FR" w:eastAsia="de-CH"/>
        </w:rPr>
        <w:t>W</w:t>
      </w:r>
      <w:r w:rsidRPr="00652D04">
        <w:rPr>
          <w:rFonts w:eastAsia="Times New Roman"/>
          <w:spacing w:val="1"/>
          <w:lang w:val="fr-FR" w:eastAsia="de-CH"/>
        </w:rPr>
        <w:t>I</w:t>
      </w:r>
      <w:r w:rsidRPr="00652D04">
        <w:rPr>
          <w:rFonts w:eastAsia="Times New Roman"/>
          <w:spacing w:val="-4"/>
          <w:lang w:val="fr-FR" w:eastAsia="de-CH"/>
        </w:rPr>
        <w:t>P</w:t>
      </w:r>
      <w:r w:rsidRPr="00652D04">
        <w:rPr>
          <w:rFonts w:eastAsia="Times New Roman"/>
          <w:spacing w:val="-2"/>
          <w:lang w:val="fr-FR" w:eastAsia="de-CH"/>
        </w:rPr>
        <w:t>O</w:t>
      </w:r>
      <w:r w:rsidRPr="00652D04">
        <w:rPr>
          <w:rFonts w:eastAsia="Times New Roman"/>
          <w:spacing w:val="1"/>
          <w:lang w:val="fr-FR" w:eastAsia="de-CH"/>
        </w:rPr>
        <w:t>/G</w:t>
      </w:r>
      <w:r w:rsidRPr="00652D04">
        <w:rPr>
          <w:rFonts w:eastAsia="Times New Roman"/>
          <w:spacing w:val="-4"/>
          <w:lang w:val="fr-FR" w:eastAsia="de-CH"/>
        </w:rPr>
        <w:t>R</w:t>
      </w:r>
      <w:r w:rsidRPr="00652D04">
        <w:rPr>
          <w:rFonts w:eastAsia="Times New Roman"/>
          <w:lang w:val="fr-FR" w:eastAsia="de-CH"/>
        </w:rPr>
        <w:t>T</w:t>
      </w:r>
      <w:r w:rsidRPr="00652D04">
        <w:rPr>
          <w:rFonts w:eastAsia="Times New Roman"/>
          <w:spacing w:val="-1"/>
          <w:lang w:val="fr-FR" w:eastAsia="de-CH"/>
        </w:rPr>
        <w:t>K</w:t>
      </w:r>
      <w:r w:rsidRPr="00652D04">
        <w:rPr>
          <w:rFonts w:eastAsia="Times New Roman"/>
          <w:spacing w:val="-3"/>
          <w:lang w:val="fr-FR" w:eastAsia="de-CH"/>
        </w:rPr>
        <w:t>F</w:t>
      </w:r>
      <w:r w:rsidRPr="00652D04">
        <w:rPr>
          <w:rFonts w:eastAsia="Times New Roman"/>
          <w:spacing w:val="1"/>
          <w:lang w:val="fr-FR" w:eastAsia="de-CH"/>
        </w:rPr>
        <w:t>/</w:t>
      </w:r>
      <w:r w:rsidRPr="00652D04">
        <w:rPr>
          <w:rFonts w:eastAsia="Times New Roman"/>
          <w:lang w:val="fr-FR" w:eastAsia="de-CH"/>
        </w:rPr>
        <w:t>I</w:t>
      </w:r>
      <w:r w:rsidRPr="00652D04">
        <w:rPr>
          <w:rFonts w:eastAsia="Times New Roman"/>
          <w:spacing w:val="-2"/>
          <w:lang w:val="fr-FR" w:eastAsia="de-CH"/>
        </w:rPr>
        <w:t>C</w:t>
      </w:r>
      <w:r w:rsidRPr="00652D04">
        <w:rPr>
          <w:rFonts w:eastAsia="Times New Roman"/>
          <w:spacing w:val="1"/>
          <w:lang w:val="fr-FR" w:eastAsia="de-CH"/>
        </w:rPr>
        <w:t>/28/6</w:t>
      </w:r>
      <w:r w:rsidRPr="00652D04">
        <w:rPr>
          <w:rFonts w:eastAsia="Times New Roman"/>
          <w:lang w:val="fr-FR" w:eastAsia="de-CH"/>
        </w:rPr>
        <w:t>,</w:t>
      </w:r>
      <w:r w:rsidRPr="00652D04">
        <w:rPr>
          <w:rFonts w:eastAsia="Times New Roman"/>
          <w:spacing w:val="-3"/>
          <w:lang w:val="fr-FR" w:eastAsia="de-CH"/>
        </w:rPr>
        <w:t xml:space="preserve"> </w:t>
      </w:r>
      <w:r w:rsidRPr="00652D04">
        <w:rPr>
          <w:lang w:val="fr-FR" w:eastAsia="en-US"/>
        </w:rPr>
        <w:t xml:space="preserve">ainsi que sur toute autre contribution des États membres, suivant une approche fondée sur des bases factuelles, </w:t>
      </w:r>
      <w:r w:rsidR="00D67156" w:rsidRPr="00652D04">
        <w:rPr>
          <w:lang w:val="fr-FR" w:eastAsia="en-US"/>
        </w:rPr>
        <w:t>y compris</w:t>
      </w:r>
      <w:r w:rsidRPr="00652D04">
        <w:rPr>
          <w:lang w:val="fr-FR" w:eastAsia="en-US"/>
        </w:rPr>
        <w:t xml:space="preserve"> des études et des exemples d</w:t>
      </w:r>
      <w:r w:rsidR="00D67156" w:rsidRPr="00652D04">
        <w:rPr>
          <w:lang w:val="fr-FR" w:eastAsia="en-US"/>
        </w:rPr>
        <w:t>’</w:t>
      </w:r>
      <w:r w:rsidRPr="00652D04">
        <w:rPr>
          <w:lang w:val="fr-FR" w:eastAsia="en-US"/>
        </w:rPr>
        <w:t>expériences nationales, de lois nationales et d</w:t>
      </w:r>
      <w:r w:rsidR="00D67156" w:rsidRPr="00652D04">
        <w:rPr>
          <w:lang w:val="fr-FR" w:eastAsia="en-US"/>
        </w:rPr>
        <w:t>’</w:t>
      </w:r>
      <w:r w:rsidRPr="00652D04">
        <w:rPr>
          <w:lang w:val="fr-FR" w:eastAsia="en-US"/>
        </w:rPr>
        <w:t>objets pouvant bénéficier d</w:t>
      </w:r>
      <w:r w:rsidR="00D67156" w:rsidRPr="00652D04">
        <w:rPr>
          <w:lang w:val="fr-FR" w:eastAsia="en-US"/>
        </w:rPr>
        <w:t>’</w:t>
      </w:r>
      <w:r w:rsidRPr="00652D04">
        <w:rPr>
          <w:lang w:val="fr-FR" w:eastAsia="en-US"/>
        </w:rPr>
        <w:t>une protection et d</w:t>
      </w:r>
      <w:r w:rsidR="00D67156" w:rsidRPr="00652D04">
        <w:rPr>
          <w:lang w:val="fr-FR" w:eastAsia="en-US"/>
        </w:rPr>
        <w:t>’</w:t>
      </w:r>
      <w:r w:rsidRPr="00652D04">
        <w:rPr>
          <w:lang w:val="fr-FR" w:eastAsia="en-US"/>
        </w:rPr>
        <w:t>objets qu</w:t>
      </w:r>
      <w:r w:rsidR="00D67156" w:rsidRPr="00652D04">
        <w:rPr>
          <w:lang w:val="fr-FR" w:eastAsia="en-US"/>
        </w:rPr>
        <w:t>’</w:t>
      </w:r>
      <w:r w:rsidRPr="00652D04">
        <w:rPr>
          <w:lang w:val="fr-FR" w:eastAsia="en-US"/>
        </w:rPr>
        <w:t>il n</w:t>
      </w:r>
      <w:r w:rsidR="00D67156" w:rsidRPr="00652D04">
        <w:rPr>
          <w:lang w:val="fr-FR" w:eastAsia="en-US"/>
        </w:rPr>
        <w:t>’</w:t>
      </w:r>
      <w:r w:rsidRPr="00652D04">
        <w:rPr>
          <w:lang w:val="fr-FR" w:eastAsia="en-US"/>
        </w:rPr>
        <w:t>est pas prévu de protéger;  ainsi que sur les résultats des travaux du ou des comités d</w:t>
      </w:r>
      <w:r w:rsidR="00D67156" w:rsidRPr="00652D04">
        <w:rPr>
          <w:lang w:val="fr-FR" w:eastAsia="en-US"/>
        </w:rPr>
        <w:t>’</w:t>
      </w:r>
      <w:r w:rsidRPr="00652D04">
        <w:rPr>
          <w:lang w:val="fr-FR" w:eastAsia="en-US"/>
        </w:rPr>
        <w:t>experts créés par le comité et des séminaires et ateliers en rapport avec l</w:t>
      </w:r>
      <w:r w:rsidR="00D67156" w:rsidRPr="00652D04">
        <w:rPr>
          <w:lang w:val="fr-FR" w:eastAsia="en-US"/>
        </w:rPr>
        <w:t>’</w:t>
      </w:r>
      <w:r w:rsidRPr="00652D04">
        <w:rPr>
          <w:lang w:val="fr-FR" w:eastAsia="en-US"/>
        </w:rPr>
        <w:t>IGC organisés au titre du programme 4.  Toutefois, les exemples, études, séminaires et ateliers ne doivent pas retarder l</w:t>
      </w:r>
      <w:r w:rsidR="00D67156" w:rsidRPr="00652D04">
        <w:rPr>
          <w:lang w:val="fr-FR" w:eastAsia="en-US"/>
        </w:rPr>
        <w:t>’</w:t>
      </w:r>
      <w:r w:rsidRPr="00652D04">
        <w:rPr>
          <w:lang w:val="fr-FR" w:eastAsia="en-US"/>
        </w:rPr>
        <w:t>avancement des travaux ou établir des conditions préalables aux négociations sur la base d</w:t>
      </w:r>
      <w:r w:rsidR="00D67156" w:rsidRPr="00652D04">
        <w:rPr>
          <w:lang w:val="fr-FR" w:eastAsia="en-US"/>
        </w:rPr>
        <w:t>’</w:t>
      </w:r>
      <w:r w:rsidRPr="00652D04">
        <w:rPr>
          <w:lang w:val="fr-FR" w:eastAsia="en-US"/>
        </w:rPr>
        <w:t>un texte.</w:t>
      </w:r>
    </w:p>
    <w:p w:rsidR="000006CC" w:rsidRPr="00652D04" w:rsidRDefault="00534437" w:rsidP="00534437">
      <w:pPr>
        <w:pStyle w:val="ONUMFS"/>
        <w:numPr>
          <w:ilvl w:val="1"/>
          <w:numId w:val="6"/>
        </w:numPr>
        <w:rPr>
          <w:lang w:val="fr-FR" w:eastAsia="en-US"/>
        </w:rPr>
      </w:pPr>
      <w:r w:rsidRPr="00652D04">
        <w:rPr>
          <w:lang w:val="fr-FR" w:eastAsia="en-US"/>
        </w:rPr>
        <w:t>Compte tenu de l</w:t>
      </w:r>
      <w:r w:rsidR="00D67156" w:rsidRPr="00652D04">
        <w:rPr>
          <w:lang w:val="fr-FR" w:eastAsia="en-US"/>
        </w:rPr>
        <w:t>’</w:t>
      </w:r>
      <w:r w:rsidRPr="00652D04">
        <w:rPr>
          <w:lang w:val="fr-FR" w:eastAsia="en-US"/>
        </w:rPr>
        <w:t>utilité des séminaires organisés par l</w:t>
      </w:r>
      <w:r w:rsidR="00D67156" w:rsidRPr="00652D04">
        <w:rPr>
          <w:lang w:val="fr-FR" w:eastAsia="en-US"/>
        </w:rPr>
        <w:t>’</w:t>
      </w:r>
      <w:r w:rsidRPr="00652D04">
        <w:rPr>
          <w:lang w:val="fr-FR" w:eastAsia="en-US"/>
        </w:rPr>
        <w:t>OMPI en 2015 sur des thèmes en rapport avec l</w:t>
      </w:r>
      <w:r w:rsidR="00D67156" w:rsidRPr="00652D04">
        <w:rPr>
          <w:lang w:val="fr-FR" w:eastAsia="en-US"/>
        </w:rPr>
        <w:t>’</w:t>
      </w:r>
      <w:r w:rsidRPr="00652D04">
        <w:rPr>
          <w:lang w:val="fr-FR" w:eastAsia="en-US"/>
        </w:rPr>
        <w:t>IGC, il convient de prévoir la possibilité que le Secrétariat, au titre du programme 4, organise des séminaires et ateliers intersessions afin de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D67156" w:rsidRPr="00652D04">
        <w:rPr>
          <w:lang w:val="fr-FR" w:eastAsia="en-US"/>
        </w:rPr>
        <w:t>’</w:t>
      </w:r>
      <w:r w:rsidRPr="00652D04">
        <w:rPr>
          <w:lang w:val="fr-FR" w:eastAsia="en-US"/>
        </w:rPr>
        <w:t>accent sur les questions non résolues.</w:t>
      </w:r>
    </w:p>
    <w:p w:rsidR="000006CC" w:rsidRPr="00652D04" w:rsidRDefault="00534437" w:rsidP="00534437">
      <w:pPr>
        <w:pStyle w:val="ONUMFS"/>
        <w:numPr>
          <w:ilvl w:val="1"/>
          <w:numId w:val="6"/>
        </w:numPr>
        <w:rPr>
          <w:lang w:val="fr-FR" w:eastAsia="en-US"/>
        </w:rPr>
      </w:pPr>
      <w:r w:rsidRPr="00652D04">
        <w:rPr>
          <w:lang w:val="fr-FR" w:eastAsia="en-US"/>
        </w:rPr>
        <w:t>En 2016, le comité sera invité à soumettre, uniquement à des fins d</w:t>
      </w:r>
      <w:r w:rsidR="00D67156" w:rsidRPr="00652D04">
        <w:rPr>
          <w:lang w:val="fr-FR" w:eastAsia="en-US"/>
        </w:rPr>
        <w:t>’</w:t>
      </w:r>
      <w:r w:rsidRPr="00652D04">
        <w:rPr>
          <w:lang w:val="fr-FR" w:eastAsia="en-US"/>
        </w:rPr>
        <w:t>information, un rapport factuel à l</w:t>
      </w:r>
      <w:r w:rsidR="00D67156" w:rsidRPr="00652D04">
        <w:rPr>
          <w:lang w:val="fr-FR" w:eastAsia="en-US"/>
        </w:rPr>
        <w:t>’</w:t>
      </w:r>
      <w:r w:rsidRPr="00652D04">
        <w:rPr>
          <w:lang w:val="fr-FR" w:eastAsia="en-US"/>
        </w:rPr>
        <w:t>Assemblée générale sur l</w:t>
      </w:r>
      <w:r w:rsidR="00D67156" w:rsidRPr="00652D04">
        <w:rPr>
          <w:lang w:val="fr-FR" w:eastAsia="en-US"/>
        </w:rPr>
        <w:t>’</w:t>
      </w:r>
      <w:r w:rsidRPr="00652D04">
        <w:rPr>
          <w:lang w:val="fr-FR" w:eastAsia="en-US"/>
        </w:rPr>
        <w:t>état d</w:t>
      </w:r>
      <w:r w:rsidR="00D67156" w:rsidRPr="00652D04">
        <w:rPr>
          <w:lang w:val="fr-FR" w:eastAsia="en-US"/>
        </w:rPr>
        <w:t>’</w:t>
      </w:r>
      <w:r w:rsidRPr="00652D04">
        <w:rPr>
          <w:lang w:val="fr-FR" w:eastAsia="en-US"/>
        </w:rPr>
        <w:t>avancement de ses travaux à ce stade et, en 2017, à présenter à l</w:t>
      </w:r>
      <w:r w:rsidR="00D67156" w:rsidRPr="00652D04">
        <w:rPr>
          <w:lang w:val="fr-FR" w:eastAsia="en-US"/>
        </w:rPr>
        <w:t>’</w:t>
      </w:r>
      <w:r w:rsidRPr="00652D04">
        <w:rPr>
          <w:lang w:val="fr-FR" w:eastAsia="en-US"/>
        </w:rPr>
        <w:t>Assemblée générale les résultats de ses travaux sur un ou plusieurs instruments juridiques relatifs à la propriété intellectuelle, qui garantiront une protection efficace et équilibrée des ressources génétiques, des savoirs traditionnels et des expressions culturelles traditionnelles.  L</w:t>
      </w:r>
      <w:r w:rsidR="00D67156" w:rsidRPr="00652D04">
        <w:rPr>
          <w:lang w:val="fr-FR" w:eastAsia="en-US"/>
        </w:rPr>
        <w:t>’</w:t>
      </w:r>
      <w:r w:rsidRPr="00652D04">
        <w:rPr>
          <w:lang w:val="fr-FR" w:eastAsia="en-US"/>
        </w:rPr>
        <w:t>Assemblée générale fera le point, en 2017, sur l</w:t>
      </w:r>
      <w:r w:rsidR="00D67156" w:rsidRPr="00652D04">
        <w:rPr>
          <w:lang w:val="fr-FR" w:eastAsia="en-US"/>
        </w:rPr>
        <w:t>’</w:t>
      </w:r>
      <w:r w:rsidRPr="00652D04">
        <w:rPr>
          <w:lang w:val="fr-FR" w:eastAsia="en-US"/>
        </w:rPr>
        <w:t>avancement des travaux et se prononcera sur la question de savoir s</w:t>
      </w:r>
      <w:r w:rsidR="00D67156" w:rsidRPr="00652D04">
        <w:rPr>
          <w:lang w:val="fr-FR" w:eastAsia="en-US"/>
        </w:rPr>
        <w:t>’</w:t>
      </w:r>
      <w:r w:rsidRPr="00652D04">
        <w:rPr>
          <w:lang w:val="fr-FR" w:eastAsia="en-US"/>
        </w:rPr>
        <w:t>il conviendra de convoquer une conférence diplomatique ou de poursuivre les négociatio</w:t>
      </w:r>
      <w:r w:rsidR="00E70920" w:rsidRPr="00652D04">
        <w:rPr>
          <w:lang w:val="fr-FR" w:eastAsia="en-US"/>
        </w:rPr>
        <w:t>ns.  El</w:t>
      </w:r>
      <w:r w:rsidRPr="00652D04">
        <w:rPr>
          <w:lang w:val="fr-FR" w:eastAsia="en-US"/>
        </w:rPr>
        <w:t>le examinera également la nécessité d</w:t>
      </w:r>
      <w:r w:rsidR="00D67156" w:rsidRPr="00652D04">
        <w:rPr>
          <w:lang w:val="fr-FR" w:eastAsia="en-US"/>
        </w:rPr>
        <w:t>’</w:t>
      </w:r>
      <w:r w:rsidRPr="00652D04">
        <w:rPr>
          <w:lang w:val="fr-FR" w:eastAsia="en-US"/>
        </w:rPr>
        <w:t>organiser des réunions supplémentaires, compte tenu de la procédure budgétaire.</w:t>
      </w:r>
    </w:p>
    <w:p w:rsidR="000006CC" w:rsidRPr="00652D04" w:rsidRDefault="00534437" w:rsidP="00534437">
      <w:pPr>
        <w:pStyle w:val="ONUMFS"/>
        <w:numPr>
          <w:ilvl w:val="1"/>
          <w:numId w:val="6"/>
        </w:numPr>
        <w:rPr>
          <w:lang w:val="fr-FR" w:eastAsia="en-US"/>
        </w:rPr>
      </w:pPr>
      <w:r w:rsidRPr="00652D04">
        <w:rPr>
          <w:lang w:val="fr-FR" w:eastAsia="en-US"/>
        </w:rPr>
        <w:t>Le comité peut également envisager la transformation de l</w:t>
      </w:r>
      <w:r w:rsidR="00D67156" w:rsidRPr="00652D04">
        <w:rPr>
          <w:lang w:val="fr-FR" w:eastAsia="en-US"/>
        </w:rPr>
        <w:t>’</w:t>
      </w:r>
      <w:r w:rsidRPr="00652D04">
        <w:rPr>
          <w:lang w:val="fr-FR" w:eastAsia="en-US"/>
        </w:rPr>
        <w:t>IGC en comité permanent et, s</w:t>
      </w:r>
      <w:r w:rsidR="00D67156" w:rsidRPr="00652D04">
        <w:rPr>
          <w:lang w:val="fr-FR" w:eastAsia="en-US"/>
        </w:rPr>
        <w:t>’</w:t>
      </w:r>
      <w:r w:rsidRPr="00652D04">
        <w:rPr>
          <w:lang w:val="fr-FR" w:eastAsia="en-US"/>
        </w:rPr>
        <w:t>il en est ainsi décidé, faire une recommandation à cet égard à l</w:t>
      </w:r>
      <w:r w:rsidR="00D67156" w:rsidRPr="00652D04">
        <w:rPr>
          <w:lang w:val="fr-FR" w:eastAsia="en-US"/>
        </w:rPr>
        <w:t>’</w:t>
      </w:r>
      <w:r w:rsidRPr="00652D04">
        <w:rPr>
          <w:lang w:val="fr-FR" w:eastAsia="en-US"/>
        </w:rPr>
        <w:t>Assemblée générale en 2016 ou en 2017.</w:t>
      </w:r>
    </w:p>
    <w:p w:rsidR="000006CC" w:rsidRPr="00652D04" w:rsidRDefault="00534437" w:rsidP="00534437">
      <w:pPr>
        <w:pStyle w:val="ONUMFS"/>
        <w:numPr>
          <w:ilvl w:val="1"/>
          <w:numId w:val="6"/>
        </w:numPr>
        <w:rPr>
          <w:lang w:val="fr-FR" w:eastAsia="en-US"/>
        </w:rPr>
      </w:pPr>
      <w:r w:rsidRPr="00652D04">
        <w:rPr>
          <w:lang w:val="fr-FR" w:eastAsia="en-US"/>
        </w:rPr>
        <w:t>L</w:t>
      </w:r>
      <w:r w:rsidR="00D67156" w:rsidRPr="00652D04">
        <w:rPr>
          <w:lang w:val="fr-FR" w:eastAsia="en-US"/>
        </w:rPr>
        <w:t>’</w:t>
      </w:r>
      <w:r w:rsidRPr="00652D04">
        <w:rPr>
          <w:lang w:val="fr-FR" w:eastAsia="en-US"/>
        </w:rPr>
        <w:t>Assemblée générale demande au Bureau international de continuer d</w:t>
      </w:r>
      <w:r w:rsidR="00D67156" w:rsidRPr="00652D04">
        <w:rPr>
          <w:lang w:val="fr-FR" w:eastAsia="en-US"/>
        </w:rPr>
        <w:t>’</w:t>
      </w:r>
      <w:r w:rsidRPr="00652D04">
        <w:rPr>
          <w:lang w:val="fr-FR" w:eastAsia="en-US"/>
        </w:rPr>
        <w:t>apporter son assistance au comité en mettant à la disposition des États membres, aussi efficacement que possible, les compétences nécessaires et les ressources financières permettant la participation d</w:t>
      </w:r>
      <w:r w:rsidR="00D67156" w:rsidRPr="00652D04">
        <w:rPr>
          <w:lang w:val="fr-FR" w:eastAsia="en-US"/>
        </w:rPr>
        <w:t>’</w:t>
      </w:r>
      <w:r w:rsidRPr="00652D04">
        <w:rPr>
          <w:lang w:val="fr-FR" w:eastAsia="en-US"/>
        </w:rPr>
        <w:t>experts de pays en développement et de PMA selon la formule établie.</w:t>
      </w:r>
    </w:p>
    <w:p w:rsidR="000006CC" w:rsidRPr="00652D04" w:rsidRDefault="000006CC">
      <w:pPr>
        <w:rPr>
          <w:rFonts w:eastAsiaTheme="minorHAnsi"/>
          <w:szCs w:val="22"/>
          <w:u w:val="single"/>
          <w:lang w:val="fr-FR" w:eastAsia="en-US"/>
        </w:rPr>
      </w:pPr>
    </w:p>
    <w:p w:rsidR="000006CC" w:rsidRPr="00652D04" w:rsidRDefault="001036F6" w:rsidP="001036F6">
      <w:pPr>
        <w:jc w:val="both"/>
        <w:rPr>
          <w:rFonts w:eastAsiaTheme="minorHAnsi"/>
          <w:szCs w:val="22"/>
          <w:u w:val="single"/>
          <w:lang w:val="fr-FR" w:eastAsia="en-US"/>
        </w:rPr>
      </w:pPr>
      <w:r w:rsidRPr="00652D04">
        <w:rPr>
          <w:rFonts w:eastAsiaTheme="minorHAnsi"/>
          <w:szCs w:val="22"/>
          <w:u w:val="single"/>
          <w:lang w:val="fr-FR" w:eastAsia="en-US"/>
        </w:rPr>
        <w:t>Programme de travail – 6 sessions</w:t>
      </w:r>
    </w:p>
    <w:p w:rsidR="001036F6" w:rsidRPr="00652D04" w:rsidRDefault="001036F6" w:rsidP="001036F6">
      <w:pPr>
        <w:autoSpaceDE w:val="0"/>
        <w:autoSpaceDN w:val="0"/>
        <w:adjustRightInd w:val="0"/>
        <w:rPr>
          <w:rFonts w:eastAsia="Calibri"/>
          <w:szCs w:val="22"/>
          <w:lang w:val="fr-FR" w:eastAsia="en-US"/>
        </w:rPr>
      </w:pPr>
    </w:p>
    <w:tbl>
      <w:tblPr>
        <w:tblStyle w:val="TableGrid1"/>
        <w:tblW w:w="0" w:type="auto"/>
        <w:tblLook w:val="04A0" w:firstRow="1" w:lastRow="0" w:firstColumn="1" w:lastColumn="0" w:noHBand="0" w:noVBand="1"/>
      </w:tblPr>
      <w:tblGrid>
        <w:gridCol w:w="2821"/>
        <w:gridCol w:w="6750"/>
      </w:tblGrid>
      <w:tr w:rsidR="00652D04" w:rsidRPr="00652D04" w:rsidTr="001036F6">
        <w:trPr>
          <w:cantSplit/>
          <w:tblHeader/>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rFonts w:eastAsia="Times New Roman"/>
                <w:b/>
                <w:szCs w:val="22"/>
                <w:lang w:val="fr-FR"/>
              </w:rPr>
            </w:pPr>
            <w:r w:rsidRPr="00652D04">
              <w:rPr>
                <w:rFonts w:eastAsia="Times New Roman"/>
                <w:szCs w:val="22"/>
                <w:lang w:val="fr-FR"/>
              </w:rPr>
              <w:br w:type="page"/>
            </w:r>
            <w:r w:rsidRPr="00652D04">
              <w:rPr>
                <w:rFonts w:eastAsia="Times New Roman"/>
                <w:b/>
                <w:szCs w:val="22"/>
                <w:lang w:val="fr-FR"/>
              </w:rPr>
              <w:t>Dates indicatives</w:t>
            </w:r>
          </w:p>
        </w:tc>
        <w:tc>
          <w:tcPr>
            <w:tcW w:w="6804"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rFonts w:eastAsia="Times New Roman"/>
                <w:b/>
                <w:szCs w:val="22"/>
                <w:lang w:val="fr-FR"/>
              </w:rPr>
            </w:pPr>
            <w:r w:rsidRPr="00652D04">
              <w:rPr>
                <w:rFonts w:eastAsia="Times New Roman"/>
                <w:b/>
                <w:szCs w:val="22"/>
                <w:lang w:val="fr-FR"/>
              </w:rPr>
              <w:t>Activité</w:t>
            </w:r>
          </w:p>
        </w:tc>
      </w:tr>
      <w:tr w:rsidR="00652D04" w:rsidRPr="00652D04" w:rsidTr="001036F6">
        <w:trPr>
          <w:cantSplit/>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lang w:val="fr-FR"/>
              </w:rPr>
            </w:pPr>
            <w:r w:rsidRPr="00652D04">
              <w:rPr>
                <w:lang w:val="fr-FR"/>
              </w:rPr>
              <w:t>Février/mars 2016</w:t>
            </w:r>
          </w:p>
        </w:tc>
        <w:tc>
          <w:tcPr>
            <w:tcW w:w="6804" w:type="dxa"/>
            <w:tcBorders>
              <w:top w:val="single" w:sz="4" w:space="0" w:color="auto"/>
              <w:left w:val="single" w:sz="4" w:space="0" w:color="auto"/>
              <w:bottom w:val="single" w:sz="4" w:space="0" w:color="auto"/>
              <w:right w:val="single" w:sz="4" w:space="0" w:color="auto"/>
            </w:tcBorders>
            <w:hideMark/>
          </w:tcPr>
          <w:p w:rsidR="000006CC" w:rsidRPr="00652D04" w:rsidRDefault="001036F6" w:rsidP="0027422B">
            <w:pPr>
              <w:rPr>
                <w:rFonts w:eastAsia="Times New Roman"/>
                <w:szCs w:val="22"/>
                <w:lang w:val="fr-FR"/>
              </w:rPr>
            </w:pPr>
            <w:r w:rsidRPr="00652D04">
              <w:rPr>
                <w:rFonts w:eastAsia="Times New Roman"/>
                <w:szCs w:val="22"/>
                <w:lang w:val="fr-FR"/>
              </w:rPr>
              <w:t>(Vingt</w:t>
            </w:r>
            <w:r w:rsidR="00E70920" w:rsidRPr="00652D04">
              <w:rPr>
                <w:rFonts w:eastAsia="Times New Roman"/>
                <w:szCs w:val="22"/>
                <w:lang w:val="fr-FR"/>
              </w:rPr>
              <w:noBreakHyphen/>
            </w:r>
            <w:r w:rsidRPr="00652D04">
              <w:rPr>
                <w:rFonts w:eastAsia="Times New Roman"/>
                <w:szCs w:val="22"/>
                <w:lang w:val="fr-FR"/>
              </w:rPr>
              <w:t>neuvième session de l</w:t>
            </w:r>
            <w:r w:rsidR="00D67156" w:rsidRPr="00652D04">
              <w:rPr>
                <w:rFonts w:eastAsia="Times New Roman"/>
                <w:szCs w:val="22"/>
                <w:lang w:val="fr-FR"/>
              </w:rPr>
              <w:t>’</w:t>
            </w:r>
            <w:r w:rsidRPr="00652D04">
              <w:rPr>
                <w:rFonts w:eastAsia="Times New Roman"/>
                <w:szCs w:val="22"/>
                <w:lang w:val="fr-FR"/>
              </w:rPr>
              <w:t>IGC)</w:t>
            </w:r>
          </w:p>
          <w:p w:rsidR="000006CC" w:rsidRPr="00652D04" w:rsidRDefault="001036F6" w:rsidP="0027422B">
            <w:pPr>
              <w:rPr>
                <w:rFonts w:eastAsia="Times New Roman"/>
                <w:szCs w:val="22"/>
                <w:lang w:val="fr-FR"/>
              </w:rPr>
            </w:pPr>
            <w:r w:rsidRPr="00652D04">
              <w:rPr>
                <w:rFonts w:eastAsia="Times New Roman"/>
                <w:szCs w:val="22"/>
                <w:lang w:val="fr-FR"/>
              </w:rPr>
              <w:t>Mener des négociations sur les ressources génétiques en mettant l</w:t>
            </w:r>
            <w:r w:rsidR="00D67156" w:rsidRPr="00652D04">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D67156" w:rsidRPr="00652D04">
              <w:rPr>
                <w:rFonts w:eastAsia="Times New Roman"/>
                <w:szCs w:val="22"/>
                <w:lang w:val="fr-FR"/>
              </w:rPr>
              <w:t>’</w:t>
            </w:r>
            <w:r w:rsidRPr="00652D04">
              <w:rPr>
                <w:rFonts w:eastAsia="Times New Roman"/>
                <w:szCs w:val="22"/>
                <w:lang w:val="fr-FR"/>
              </w:rPr>
              <w:t>instrument juridique</w:t>
            </w:r>
          </w:p>
          <w:p w:rsidR="000006CC" w:rsidRPr="00652D04" w:rsidRDefault="001036F6" w:rsidP="0027422B">
            <w:pPr>
              <w:rPr>
                <w:rFonts w:eastAsia="Times New Roman"/>
                <w:spacing w:val="-2"/>
                <w:szCs w:val="22"/>
                <w:lang w:val="fr-FR"/>
              </w:rPr>
            </w:pPr>
            <w:r w:rsidRPr="00652D04">
              <w:rPr>
                <w:rFonts w:eastAsia="Times New Roman"/>
                <w:spacing w:val="-2"/>
                <w:szCs w:val="22"/>
                <w:lang w:val="fr-FR"/>
              </w:rPr>
              <w:t>Établir une liste indicative des questions en suspens à aborder ou à régler à la session suivante consacrée aux ressources génétiques</w:t>
            </w:r>
          </w:p>
          <w:p w:rsidR="001036F6" w:rsidRPr="00652D04" w:rsidRDefault="001036F6" w:rsidP="0027422B">
            <w:pPr>
              <w:rPr>
                <w:rFonts w:eastAsia="Times New Roman"/>
                <w:szCs w:val="22"/>
                <w:lang w:val="fr-FR"/>
              </w:rPr>
            </w:pPr>
            <w:r w:rsidRPr="00652D04">
              <w:rPr>
                <w:rFonts w:eastAsia="Times New Roman"/>
                <w:szCs w:val="22"/>
                <w:lang w:val="fr-FR"/>
              </w:rPr>
              <w:t>Durée : 5 jours</w:t>
            </w:r>
          </w:p>
        </w:tc>
      </w:tr>
      <w:tr w:rsidR="00652D04" w:rsidRPr="00652D04" w:rsidTr="001036F6">
        <w:trPr>
          <w:cantSplit/>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lang w:val="fr-FR"/>
              </w:rPr>
            </w:pPr>
            <w:r w:rsidRPr="00652D04">
              <w:rPr>
                <w:lang w:val="fr-FR"/>
              </w:rPr>
              <w:t>Mai/juin 2016</w:t>
            </w:r>
          </w:p>
        </w:tc>
        <w:tc>
          <w:tcPr>
            <w:tcW w:w="6804" w:type="dxa"/>
            <w:tcBorders>
              <w:top w:val="single" w:sz="4" w:space="0" w:color="auto"/>
              <w:left w:val="single" w:sz="4" w:space="0" w:color="auto"/>
              <w:bottom w:val="single" w:sz="4" w:space="0" w:color="auto"/>
              <w:right w:val="single" w:sz="4" w:space="0" w:color="auto"/>
            </w:tcBorders>
            <w:hideMark/>
          </w:tcPr>
          <w:p w:rsidR="000006CC" w:rsidRPr="00652D04" w:rsidRDefault="001036F6" w:rsidP="0027422B">
            <w:pPr>
              <w:rPr>
                <w:rFonts w:eastAsia="Times New Roman"/>
                <w:szCs w:val="22"/>
                <w:lang w:val="fr-FR"/>
              </w:rPr>
            </w:pPr>
            <w:r w:rsidRPr="00652D04">
              <w:rPr>
                <w:rFonts w:eastAsia="Times New Roman"/>
                <w:szCs w:val="22"/>
                <w:lang w:val="fr-FR"/>
              </w:rPr>
              <w:t>(Trentième session de l</w:t>
            </w:r>
            <w:r w:rsidR="00D67156" w:rsidRPr="00652D04">
              <w:rPr>
                <w:rFonts w:eastAsia="Times New Roman"/>
                <w:szCs w:val="22"/>
                <w:lang w:val="fr-FR"/>
              </w:rPr>
              <w:t>’</w:t>
            </w:r>
            <w:r w:rsidRPr="00652D04">
              <w:rPr>
                <w:rFonts w:eastAsia="Times New Roman"/>
                <w:szCs w:val="22"/>
                <w:lang w:val="fr-FR"/>
              </w:rPr>
              <w:t>IGC)</w:t>
            </w:r>
          </w:p>
          <w:p w:rsidR="000006CC" w:rsidRPr="00652D04" w:rsidRDefault="001036F6" w:rsidP="0027422B">
            <w:pPr>
              <w:rPr>
                <w:rFonts w:eastAsia="Times New Roman"/>
                <w:szCs w:val="22"/>
                <w:lang w:val="fr-FR"/>
              </w:rPr>
            </w:pPr>
            <w:r w:rsidRPr="00652D04">
              <w:rPr>
                <w:rFonts w:eastAsia="Times New Roman"/>
                <w:szCs w:val="22"/>
                <w:lang w:val="fr-FR"/>
              </w:rPr>
              <w:t>Mener des négociations sur les ressources génétiques en mettant l</w:t>
            </w:r>
            <w:r w:rsidR="00D67156" w:rsidRPr="00652D04">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D67156" w:rsidRPr="00652D04">
              <w:rPr>
                <w:rFonts w:eastAsia="Times New Roman"/>
                <w:szCs w:val="22"/>
                <w:lang w:val="fr-FR"/>
              </w:rPr>
              <w:t>’</w:t>
            </w:r>
            <w:r w:rsidRPr="00652D04">
              <w:rPr>
                <w:rFonts w:eastAsia="Times New Roman"/>
                <w:szCs w:val="22"/>
                <w:lang w:val="fr-FR"/>
              </w:rPr>
              <w:t>instrument juridique</w:t>
            </w:r>
          </w:p>
          <w:p w:rsidR="001036F6" w:rsidRPr="00652D04" w:rsidRDefault="001036F6" w:rsidP="0027422B">
            <w:pPr>
              <w:rPr>
                <w:rFonts w:eastAsia="Times New Roman"/>
                <w:szCs w:val="22"/>
                <w:lang w:val="fr-FR"/>
              </w:rPr>
            </w:pPr>
            <w:r w:rsidRPr="00652D04">
              <w:rPr>
                <w:rFonts w:eastAsia="Times New Roman"/>
                <w:szCs w:val="22"/>
                <w:lang w:val="fr-FR"/>
              </w:rPr>
              <w:t>Durée : 5 jours</w:t>
            </w:r>
          </w:p>
        </w:tc>
      </w:tr>
      <w:tr w:rsidR="00652D04" w:rsidRPr="00652D04" w:rsidTr="001036F6">
        <w:trPr>
          <w:cantSplit/>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lang w:val="fr-FR"/>
              </w:rPr>
            </w:pPr>
            <w:r w:rsidRPr="00652D04">
              <w:rPr>
                <w:lang w:val="fr-FR"/>
              </w:rPr>
              <w:lastRenderedPageBreak/>
              <w:t>Septembre 2016</w:t>
            </w:r>
          </w:p>
        </w:tc>
        <w:tc>
          <w:tcPr>
            <w:tcW w:w="6804" w:type="dxa"/>
            <w:tcBorders>
              <w:top w:val="single" w:sz="4" w:space="0" w:color="auto"/>
              <w:left w:val="single" w:sz="4" w:space="0" w:color="auto"/>
              <w:bottom w:val="single" w:sz="4" w:space="0" w:color="auto"/>
              <w:right w:val="single" w:sz="4" w:space="0" w:color="auto"/>
            </w:tcBorders>
            <w:hideMark/>
          </w:tcPr>
          <w:p w:rsidR="000006CC" w:rsidRPr="00652D04" w:rsidRDefault="001036F6" w:rsidP="0027422B">
            <w:pPr>
              <w:rPr>
                <w:rFonts w:eastAsia="Times New Roman"/>
                <w:szCs w:val="22"/>
                <w:lang w:val="fr-FR"/>
              </w:rPr>
            </w:pPr>
            <w:r w:rsidRPr="00652D04">
              <w:rPr>
                <w:rFonts w:eastAsia="Times New Roman"/>
                <w:szCs w:val="22"/>
                <w:lang w:val="fr-FR"/>
              </w:rPr>
              <w:t>(Trente et unième session de l</w:t>
            </w:r>
            <w:r w:rsidR="00D67156" w:rsidRPr="00652D04">
              <w:rPr>
                <w:rFonts w:eastAsia="Times New Roman"/>
                <w:szCs w:val="22"/>
                <w:lang w:val="fr-FR"/>
              </w:rPr>
              <w:t>’</w:t>
            </w:r>
            <w:r w:rsidRPr="00652D04">
              <w:rPr>
                <w:rFonts w:eastAsia="Times New Roman"/>
                <w:szCs w:val="22"/>
                <w:lang w:val="fr-FR"/>
              </w:rPr>
              <w:t>IGC)</w:t>
            </w:r>
          </w:p>
          <w:p w:rsidR="000006CC" w:rsidRPr="00652D04" w:rsidRDefault="001036F6" w:rsidP="0027422B">
            <w:pPr>
              <w:rPr>
                <w:rFonts w:eastAsia="Times New Roman"/>
                <w:szCs w:val="22"/>
                <w:lang w:val="fr-FR"/>
              </w:rPr>
            </w:pPr>
            <w:r w:rsidRPr="00652D04">
              <w:rPr>
                <w:rFonts w:eastAsia="Times New Roman"/>
                <w:szCs w:val="22"/>
                <w:lang w:val="fr-FR"/>
              </w:rPr>
              <w:t>Mener des négociations sur les savoirs traditionnels en mettant l</w:t>
            </w:r>
            <w:r w:rsidR="00D67156" w:rsidRPr="00652D04">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D67156" w:rsidRPr="00652D04">
              <w:rPr>
                <w:rFonts w:eastAsia="Times New Roman"/>
                <w:szCs w:val="22"/>
                <w:lang w:val="fr-FR"/>
              </w:rPr>
              <w:t>’</w:t>
            </w:r>
            <w:r w:rsidRPr="00652D04">
              <w:rPr>
                <w:rFonts w:eastAsia="Times New Roman"/>
                <w:szCs w:val="22"/>
                <w:lang w:val="fr-FR"/>
              </w:rPr>
              <w:t>instrument juridique</w:t>
            </w:r>
          </w:p>
          <w:p w:rsidR="000006CC" w:rsidRPr="00652D04" w:rsidRDefault="001036F6" w:rsidP="0027422B">
            <w:pPr>
              <w:rPr>
                <w:rFonts w:eastAsia="Times New Roman"/>
                <w:szCs w:val="22"/>
                <w:lang w:val="fr-FR"/>
              </w:rPr>
            </w:pPr>
            <w:r w:rsidRPr="00652D04">
              <w:rPr>
                <w:rFonts w:eastAsia="Times New Roman"/>
                <w:szCs w:val="22"/>
                <w:lang w:val="fr-FR"/>
              </w:rPr>
              <w:t>Établir une liste indicative des questions en suspens à aborder ou à régler à la session suivante consacrée aux savoirs traditionnels</w:t>
            </w:r>
          </w:p>
          <w:p w:rsidR="001036F6" w:rsidRPr="00652D04" w:rsidRDefault="001036F6" w:rsidP="0027422B">
            <w:pPr>
              <w:rPr>
                <w:rFonts w:eastAsia="Times New Roman"/>
                <w:szCs w:val="22"/>
                <w:lang w:val="fr-FR"/>
              </w:rPr>
            </w:pPr>
            <w:r w:rsidRPr="00652D04">
              <w:rPr>
                <w:rFonts w:eastAsia="Times New Roman"/>
                <w:szCs w:val="22"/>
                <w:lang w:val="fr-FR"/>
              </w:rPr>
              <w:t>Durée : 5 jours</w:t>
            </w:r>
          </w:p>
        </w:tc>
      </w:tr>
      <w:tr w:rsidR="00652D04" w:rsidRPr="00652D04" w:rsidTr="001036F6">
        <w:trPr>
          <w:cantSplit/>
        </w:trPr>
        <w:tc>
          <w:tcPr>
            <w:tcW w:w="2660" w:type="dxa"/>
            <w:tcBorders>
              <w:top w:val="single" w:sz="4" w:space="0" w:color="auto"/>
              <w:left w:val="single" w:sz="4" w:space="0" w:color="auto"/>
              <w:bottom w:val="single" w:sz="4" w:space="0" w:color="auto"/>
              <w:right w:val="single" w:sz="4" w:space="0" w:color="auto"/>
            </w:tcBorders>
          </w:tcPr>
          <w:p w:rsidR="001036F6" w:rsidRPr="00652D04" w:rsidRDefault="001036F6" w:rsidP="0027422B">
            <w:pPr>
              <w:rPr>
                <w:lang w:val="fr-FR"/>
              </w:rPr>
            </w:pPr>
            <w:r w:rsidRPr="00652D04">
              <w:rPr>
                <w:lang w:val="fr-FR"/>
              </w:rPr>
              <w:t>Septembre 2016</w:t>
            </w:r>
          </w:p>
        </w:tc>
        <w:tc>
          <w:tcPr>
            <w:tcW w:w="6804" w:type="dxa"/>
            <w:tcBorders>
              <w:top w:val="single" w:sz="4" w:space="0" w:color="auto"/>
              <w:left w:val="single" w:sz="4" w:space="0" w:color="auto"/>
              <w:bottom w:val="single" w:sz="4" w:space="0" w:color="auto"/>
              <w:right w:val="single" w:sz="4" w:space="0" w:color="auto"/>
            </w:tcBorders>
          </w:tcPr>
          <w:p w:rsidR="000006CC" w:rsidRPr="00652D04" w:rsidRDefault="001036F6" w:rsidP="0027422B">
            <w:pPr>
              <w:rPr>
                <w:rFonts w:eastAsia="Times New Roman"/>
                <w:szCs w:val="22"/>
                <w:lang w:val="fr-FR"/>
              </w:rPr>
            </w:pPr>
            <w:r w:rsidRPr="00652D04">
              <w:rPr>
                <w:rFonts w:eastAsia="Times New Roman"/>
                <w:szCs w:val="22"/>
                <w:lang w:val="fr-FR"/>
              </w:rPr>
              <w:t>Assemblée générale de l</w:t>
            </w:r>
            <w:r w:rsidR="00D67156" w:rsidRPr="00652D04">
              <w:rPr>
                <w:rFonts w:eastAsia="Times New Roman"/>
                <w:szCs w:val="22"/>
                <w:lang w:val="fr-FR"/>
              </w:rPr>
              <w:t>’</w:t>
            </w:r>
            <w:r w:rsidRPr="00652D04">
              <w:rPr>
                <w:rFonts w:eastAsia="Times New Roman"/>
                <w:szCs w:val="22"/>
                <w:lang w:val="fr-FR"/>
              </w:rPr>
              <w:t>OMPI</w:t>
            </w:r>
          </w:p>
          <w:p w:rsidR="001036F6" w:rsidRPr="00652D04" w:rsidRDefault="001036F6" w:rsidP="0027422B">
            <w:pPr>
              <w:rPr>
                <w:rFonts w:eastAsia="Times New Roman"/>
                <w:szCs w:val="22"/>
                <w:lang w:val="fr-FR"/>
              </w:rPr>
            </w:pPr>
            <w:r w:rsidRPr="00652D04">
              <w:rPr>
                <w:rFonts w:eastAsia="Times New Roman"/>
                <w:szCs w:val="22"/>
                <w:lang w:val="fr-FR"/>
              </w:rPr>
              <w:t>Rapport factuel</w:t>
            </w:r>
          </w:p>
        </w:tc>
      </w:tr>
      <w:tr w:rsidR="00652D04" w:rsidRPr="00652D04" w:rsidTr="001036F6">
        <w:trPr>
          <w:cantSplit/>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lang w:val="fr-FR"/>
              </w:rPr>
            </w:pPr>
            <w:r w:rsidRPr="00652D04">
              <w:rPr>
                <w:lang w:val="fr-FR"/>
              </w:rPr>
              <w:t>Novembre/décembre 2016</w:t>
            </w:r>
          </w:p>
        </w:tc>
        <w:tc>
          <w:tcPr>
            <w:tcW w:w="6804" w:type="dxa"/>
            <w:tcBorders>
              <w:top w:val="single" w:sz="4" w:space="0" w:color="auto"/>
              <w:left w:val="single" w:sz="4" w:space="0" w:color="auto"/>
              <w:bottom w:val="single" w:sz="4" w:space="0" w:color="auto"/>
              <w:right w:val="single" w:sz="4" w:space="0" w:color="auto"/>
            </w:tcBorders>
            <w:hideMark/>
          </w:tcPr>
          <w:p w:rsidR="000006CC" w:rsidRPr="00652D04" w:rsidRDefault="001036F6" w:rsidP="0027422B">
            <w:pPr>
              <w:rPr>
                <w:rFonts w:eastAsia="Times New Roman"/>
                <w:szCs w:val="22"/>
                <w:lang w:val="fr-FR"/>
              </w:rPr>
            </w:pPr>
            <w:r w:rsidRPr="00652D04">
              <w:rPr>
                <w:rFonts w:eastAsia="Times New Roman"/>
                <w:szCs w:val="22"/>
                <w:lang w:val="fr-FR"/>
              </w:rPr>
              <w:t>(Trente</w:t>
            </w:r>
            <w:r w:rsidR="00E70920" w:rsidRPr="00652D04">
              <w:rPr>
                <w:rFonts w:eastAsia="Times New Roman"/>
                <w:szCs w:val="22"/>
                <w:lang w:val="fr-FR"/>
              </w:rPr>
              <w:noBreakHyphen/>
            </w:r>
            <w:r w:rsidRPr="00652D04">
              <w:rPr>
                <w:rFonts w:eastAsia="Times New Roman"/>
                <w:szCs w:val="22"/>
                <w:lang w:val="fr-FR"/>
              </w:rPr>
              <w:t>deuxième session de l</w:t>
            </w:r>
            <w:r w:rsidR="00D67156" w:rsidRPr="00652D04">
              <w:rPr>
                <w:rFonts w:eastAsia="Times New Roman"/>
                <w:szCs w:val="22"/>
                <w:lang w:val="fr-FR"/>
              </w:rPr>
              <w:t>’</w:t>
            </w:r>
            <w:r w:rsidRPr="00652D04">
              <w:rPr>
                <w:rFonts w:eastAsia="Times New Roman"/>
                <w:szCs w:val="22"/>
                <w:lang w:val="fr-FR"/>
              </w:rPr>
              <w:t>IGC)</w:t>
            </w:r>
          </w:p>
          <w:p w:rsidR="000006CC" w:rsidRPr="00652D04" w:rsidRDefault="001036F6" w:rsidP="0027422B">
            <w:pPr>
              <w:rPr>
                <w:rFonts w:eastAsia="Times New Roman"/>
                <w:szCs w:val="22"/>
                <w:lang w:val="fr-FR"/>
              </w:rPr>
            </w:pPr>
            <w:r w:rsidRPr="00652D04">
              <w:rPr>
                <w:rFonts w:eastAsia="Times New Roman"/>
                <w:szCs w:val="22"/>
                <w:lang w:val="fr-FR"/>
              </w:rPr>
              <w:t>Mener des négociations sur les savoirs traditionnels en mettant l</w:t>
            </w:r>
            <w:r w:rsidR="00D67156" w:rsidRPr="00652D04">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D67156" w:rsidRPr="00652D04">
              <w:rPr>
                <w:rFonts w:eastAsia="Times New Roman"/>
                <w:szCs w:val="22"/>
                <w:lang w:val="fr-FR"/>
              </w:rPr>
              <w:t>’</w:t>
            </w:r>
            <w:r w:rsidRPr="00652D04">
              <w:rPr>
                <w:rFonts w:eastAsia="Times New Roman"/>
                <w:szCs w:val="22"/>
                <w:lang w:val="fr-FR"/>
              </w:rPr>
              <w:t>instrument juridique</w:t>
            </w:r>
          </w:p>
          <w:p w:rsidR="001036F6" w:rsidRPr="00652D04" w:rsidRDefault="001036F6" w:rsidP="0027422B">
            <w:pPr>
              <w:rPr>
                <w:rFonts w:eastAsia="Times New Roman"/>
                <w:szCs w:val="22"/>
                <w:lang w:val="fr-FR"/>
              </w:rPr>
            </w:pPr>
            <w:r w:rsidRPr="00652D04">
              <w:rPr>
                <w:rFonts w:eastAsia="Times New Roman"/>
                <w:szCs w:val="22"/>
                <w:lang w:val="fr-FR"/>
              </w:rPr>
              <w:t>Durée : 5 jours</w:t>
            </w:r>
          </w:p>
        </w:tc>
      </w:tr>
      <w:tr w:rsidR="00652D04" w:rsidRPr="00652D04" w:rsidTr="001036F6">
        <w:trPr>
          <w:cantSplit/>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lang w:val="fr-FR"/>
              </w:rPr>
            </w:pPr>
            <w:r w:rsidRPr="00652D04">
              <w:rPr>
                <w:lang w:val="fr-FR"/>
              </w:rPr>
              <w:t>Mars/avril 2017</w:t>
            </w:r>
          </w:p>
        </w:tc>
        <w:tc>
          <w:tcPr>
            <w:tcW w:w="6804" w:type="dxa"/>
            <w:tcBorders>
              <w:top w:val="single" w:sz="4" w:space="0" w:color="auto"/>
              <w:left w:val="single" w:sz="4" w:space="0" w:color="auto"/>
              <w:bottom w:val="single" w:sz="4" w:space="0" w:color="auto"/>
              <w:right w:val="single" w:sz="4" w:space="0" w:color="auto"/>
            </w:tcBorders>
            <w:hideMark/>
          </w:tcPr>
          <w:p w:rsidR="000006CC" w:rsidRPr="00652D04" w:rsidRDefault="001036F6" w:rsidP="0027422B">
            <w:pPr>
              <w:rPr>
                <w:rFonts w:eastAsia="Times New Roman"/>
                <w:szCs w:val="22"/>
                <w:lang w:val="fr-FR"/>
              </w:rPr>
            </w:pPr>
            <w:r w:rsidRPr="00652D04">
              <w:rPr>
                <w:rFonts w:eastAsia="Times New Roman"/>
                <w:szCs w:val="22"/>
                <w:lang w:val="fr-FR"/>
              </w:rPr>
              <w:t>(Trente</w:t>
            </w:r>
            <w:r w:rsidR="00E70920" w:rsidRPr="00652D04">
              <w:rPr>
                <w:rFonts w:eastAsia="Times New Roman"/>
                <w:szCs w:val="22"/>
                <w:lang w:val="fr-FR"/>
              </w:rPr>
              <w:noBreakHyphen/>
            </w:r>
            <w:r w:rsidRPr="00652D04">
              <w:rPr>
                <w:rFonts w:eastAsia="Times New Roman"/>
                <w:szCs w:val="22"/>
                <w:lang w:val="fr-FR"/>
              </w:rPr>
              <w:t>troisième session de l</w:t>
            </w:r>
            <w:r w:rsidR="00D67156" w:rsidRPr="00652D04">
              <w:rPr>
                <w:rFonts w:eastAsia="Times New Roman"/>
                <w:szCs w:val="22"/>
                <w:lang w:val="fr-FR"/>
              </w:rPr>
              <w:t>’</w:t>
            </w:r>
            <w:r w:rsidRPr="00652D04">
              <w:rPr>
                <w:rFonts w:eastAsia="Times New Roman"/>
                <w:szCs w:val="22"/>
                <w:lang w:val="fr-FR"/>
              </w:rPr>
              <w:t>IGC)</w:t>
            </w:r>
          </w:p>
          <w:p w:rsidR="000006CC" w:rsidRPr="00652D04" w:rsidRDefault="001036F6" w:rsidP="0027422B">
            <w:pPr>
              <w:rPr>
                <w:rFonts w:eastAsia="Times New Roman"/>
                <w:szCs w:val="22"/>
                <w:lang w:val="fr-FR"/>
              </w:rPr>
            </w:pPr>
            <w:r w:rsidRPr="00652D04">
              <w:rPr>
                <w:rFonts w:eastAsia="Times New Roman"/>
                <w:szCs w:val="22"/>
                <w:lang w:val="fr-FR"/>
              </w:rPr>
              <w:t>Mener des négociations sur les expressions culturelles traditionnelles en mettant l</w:t>
            </w:r>
            <w:r w:rsidR="00D67156" w:rsidRPr="00652D04">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D67156" w:rsidRPr="00652D04">
              <w:rPr>
                <w:rFonts w:eastAsia="Times New Roman"/>
                <w:szCs w:val="22"/>
                <w:lang w:val="fr-FR"/>
              </w:rPr>
              <w:t>’</w:t>
            </w:r>
            <w:r w:rsidRPr="00652D04">
              <w:rPr>
                <w:rFonts w:eastAsia="Times New Roman"/>
                <w:szCs w:val="22"/>
                <w:lang w:val="fr-FR"/>
              </w:rPr>
              <w:t>instrument juridique</w:t>
            </w:r>
          </w:p>
          <w:p w:rsidR="000006CC" w:rsidRPr="00652D04" w:rsidRDefault="001036F6" w:rsidP="0027422B">
            <w:pPr>
              <w:rPr>
                <w:rFonts w:eastAsia="Times New Roman"/>
                <w:szCs w:val="22"/>
                <w:lang w:val="fr-FR"/>
              </w:rPr>
            </w:pPr>
            <w:r w:rsidRPr="00652D04">
              <w:rPr>
                <w:rFonts w:eastAsia="Times New Roman"/>
                <w:szCs w:val="22"/>
                <w:lang w:val="fr-FR"/>
              </w:rPr>
              <w:t>Établir une liste indicative des questions en suspens à aborder ou à régler à la session suivante consacrée aux expressions culturelles traditionnelles</w:t>
            </w:r>
          </w:p>
          <w:p w:rsidR="001036F6" w:rsidRPr="00652D04" w:rsidRDefault="001036F6" w:rsidP="0027422B">
            <w:pPr>
              <w:rPr>
                <w:rFonts w:eastAsia="Times New Roman"/>
                <w:szCs w:val="22"/>
                <w:lang w:val="fr-FR"/>
              </w:rPr>
            </w:pPr>
            <w:r w:rsidRPr="00652D04">
              <w:rPr>
                <w:rFonts w:eastAsia="Times New Roman"/>
                <w:szCs w:val="22"/>
                <w:lang w:val="fr-FR"/>
              </w:rPr>
              <w:t>Durée : 5 jours</w:t>
            </w:r>
          </w:p>
        </w:tc>
      </w:tr>
      <w:tr w:rsidR="00652D04" w:rsidRPr="00652D04" w:rsidTr="001036F6">
        <w:trPr>
          <w:cantSplit/>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lang w:val="fr-FR"/>
              </w:rPr>
            </w:pPr>
            <w:r w:rsidRPr="00652D04">
              <w:rPr>
                <w:lang w:val="fr-FR"/>
              </w:rPr>
              <w:t>Juin/juillet 2017</w:t>
            </w:r>
          </w:p>
        </w:tc>
        <w:tc>
          <w:tcPr>
            <w:tcW w:w="6804" w:type="dxa"/>
            <w:tcBorders>
              <w:top w:val="single" w:sz="4" w:space="0" w:color="auto"/>
              <w:left w:val="single" w:sz="4" w:space="0" w:color="auto"/>
              <w:bottom w:val="single" w:sz="4" w:space="0" w:color="auto"/>
              <w:right w:val="single" w:sz="4" w:space="0" w:color="auto"/>
            </w:tcBorders>
            <w:hideMark/>
          </w:tcPr>
          <w:p w:rsidR="000006CC" w:rsidRPr="00652D04" w:rsidRDefault="001036F6" w:rsidP="0027422B">
            <w:pPr>
              <w:rPr>
                <w:rFonts w:eastAsia="Times New Roman"/>
                <w:szCs w:val="22"/>
                <w:lang w:val="fr-FR"/>
              </w:rPr>
            </w:pPr>
            <w:r w:rsidRPr="00652D04">
              <w:rPr>
                <w:rFonts w:eastAsia="Times New Roman"/>
                <w:szCs w:val="22"/>
                <w:lang w:val="fr-FR"/>
              </w:rPr>
              <w:t>(Trente</w:t>
            </w:r>
            <w:r w:rsidR="00E70920" w:rsidRPr="00652D04">
              <w:rPr>
                <w:rFonts w:eastAsia="Times New Roman"/>
                <w:szCs w:val="22"/>
                <w:lang w:val="fr-FR"/>
              </w:rPr>
              <w:noBreakHyphen/>
            </w:r>
            <w:r w:rsidRPr="00652D04">
              <w:rPr>
                <w:rFonts w:eastAsia="Times New Roman"/>
                <w:szCs w:val="22"/>
                <w:lang w:val="fr-FR"/>
              </w:rPr>
              <w:t>quatrième session de l</w:t>
            </w:r>
            <w:r w:rsidR="00D67156" w:rsidRPr="00652D04">
              <w:rPr>
                <w:rFonts w:eastAsia="Times New Roman"/>
                <w:szCs w:val="22"/>
                <w:lang w:val="fr-FR"/>
              </w:rPr>
              <w:t>’</w:t>
            </w:r>
            <w:r w:rsidRPr="00652D04">
              <w:rPr>
                <w:rFonts w:eastAsia="Times New Roman"/>
                <w:szCs w:val="22"/>
                <w:lang w:val="fr-FR"/>
              </w:rPr>
              <w:t>IGC)</w:t>
            </w:r>
          </w:p>
          <w:p w:rsidR="000006CC" w:rsidRPr="00652D04" w:rsidRDefault="001036F6" w:rsidP="0027422B">
            <w:pPr>
              <w:rPr>
                <w:rFonts w:eastAsia="Times New Roman"/>
                <w:szCs w:val="22"/>
                <w:lang w:val="fr-FR"/>
              </w:rPr>
            </w:pPr>
            <w:r w:rsidRPr="00652D04">
              <w:rPr>
                <w:rFonts w:eastAsia="Times New Roman"/>
                <w:szCs w:val="22"/>
                <w:lang w:val="fr-FR"/>
              </w:rPr>
              <w:t>Mener des négociations sur les expressions culturelles traditionnelles en mettant l</w:t>
            </w:r>
            <w:r w:rsidR="00D67156" w:rsidRPr="00652D04">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D67156" w:rsidRPr="00652D04">
              <w:rPr>
                <w:rFonts w:eastAsia="Times New Roman"/>
                <w:szCs w:val="22"/>
                <w:lang w:val="fr-FR"/>
              </w:rPr>
              <w:t>’</w:t>
            </w:r>
            <w:r w:rsidRPr="00652D04">
              <w:rPr>
                <w:rFonts w:eastAsia="Times New Roman"/>
                <w:szCs w:val="22"/>
                <w:lang w:val="fr-FR"/>
              </w:rPr>
              <w:t>instrument juridique</w:t>
            </w:r>
          </w:p>
          <w:p w:rsidR="000006CC" w:rsidRPr="00652D04" w:rsidRDefault="001036F6" w:rsidP="0027422B">
            <w:pPr>
              <w:rPr>
                <w:rFonts w:eastAsia="Times New Roman"/>
                <w:szCs w:val="22"/>
                <w:lang w:val="fr-FR"/>
              </w:rPr>
            </w:pPr>
            <w:r w:rsidRPr="00652D04">
              <w:rPr>
                <w:rFonts w:eastAsia="Times New Roman"/>
                <w:szCs w:val="22"/>
                <w:lang w:val="fr-FR"/>
              </w:rPr>
              <w:t>Organiser une session en vue de dresser un bilan et de formuler une recommandation</w:t>
            </w:r>
          </w:p>
          <w:p w:rsidR="001036F6" w:rsidRPr="00652D04" w:rsidRDefault="001036F6" w:rsidP="0027422B">
            <w:pPr>
              <w:rPr>
                <w:rFonts w:eastAsia="Times New Roman"/>
                <w:szCs w:val="22"/>
                <w:lang w:val="fr-FR"/>
              </w:rPr>
            </w:pPr>
            <w:r w:rsidRPr="00652D04">
              <w:rPr>
                <w:rFonts w:eastAsia="Times New Roman"/>
                <w:szCs w:val="22"/>
                <w:lang w:val="fr-FR"/>
              </w:rPr>
              <w:t>Durée : 5 jours</w:t>
            </w:r>
          </w:p>
        </w:tc>
      </w:tr>
      <w:tr w:rsidR="00046033" w:rsidRPr="00652D04" w:rsidTr="001036F6">
        <w:trPr>
          <w:cantSplit/>
        </w:trPr>
        <w:tc>
          <w:tcPr>
            <w:tcW w:w="2660"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rPr>
                <w:lang w:val="fr-FR"/>
              </w:rPr>
            </w:pPr>
            <w:r w:rsidRPr="00652D04">
              <w:rPr>
                <w:lang w:val="fr-FR"/>
              </w:rPr>
              <w:t>Septembre 2017</w:t>
            </w:r>
          </w:p>
        </w:tc>
        <w:tc>
          <w:tcPr>
            <w:tcW w:w="6804" w:type="dxa"/>
            <w:tcBorders>
              <w:top w:val="single" w:sz="4" w:space="0" w:color="auto"/>
              <w:left w:val="single" w:sz="4" w:space="0" w:color="auto"/>
              <w:bottom w:val="single" w:sz="4" w:space="0" w:color="auto"/>
              <w:right w:val="single" w:sz="4" w:space="0" w:color="auto"/>
            </w:tcBorders>
            <w:hideMark/>
          </w:tcPr>
          <w:p w:rsidR="001036F6" w:rsidRPr="00652D04" w:rsidRDefault="001036F6" w:rsidP="0027422B">
            <w:pPr>
              <w:autoSpaceDE w:val="0"/>
              <w:autoSpaceDN w:val="0"/>
              <w:adjustRightInd w:val="0"/>
              <w:rPr>
                <w:rFonts w:eastAsia="Times New Roman"/>
                <w:szCs w:val="22"/>
                <w:lang w:val="fr-FR"/>
              </w:rPr>
            </w:pPr>
            <w:r w:rsidRPr="00652D04">
              <w:rPr>
                <w:rFonts w:eastAsia="Calibri"/>
                <w:szCs w:val="22"/>
                <w:lang w:val="fr-FR"/>
              </w:rPr>
              <w:t>L</w:t>
            </w:r>
            <w:r w:rsidR="00D67156" w:rsidRPr="00652D04">
              <w:rPr>
                <w:rFonts w:eastAsia="Calibri"/>
                <w:szCs w:val="22"/>
                <w:lang w:val="fr-FR"/>
              </w:rPr>
              <w:t>’</w:t>
            </w:r>
            <w:r w:rsidRPr="00652D04">
              <w:rPr>
                <w:rFonts w:eastAsia="Calibri"/>
                <w:szCs w:val="22"/>
                <w:lang w:val="fr-FR"/>
              </w:rPr>
              <w:t>Assemblée générale fera le point sur le ou les textes et l</w:t>
            </w:r>
            <w:r w:rsidR="00D67156" w:rsidRPr="00652D04">
              <w:rPr>
                <w:rFonts w:eastAsia="Calibri"/>
                <w:szCs w:val="22"/>
                <w:lang w:val="fr-FR"/>
              </w:rPr>
              <w:t>’</w:t>
            </w:r>
            <w:r w:rsidRPr="00652D04">
              <w:rPr>
                <w:rFonts w:eastAsia="Calibri"/>
                <w:szCs w:val="22"/>
                <w:lang w:val="fr-FR"/>
              </w:rPr>
              <w:t>avancement des travaux, et se prononcera sur la question de savoir s</w:t>
            </w:r>
            <w:r w:rsidR="00D67156" w:rsidRPr="00652D04">
              <w:rPr>
                <w:rFonts w:eastAsia="Calibri"/>
                <w:szCs w:val="22"/>
                <w:lang w:val="fr-FR"/>
              </w:rPr>
              <w:t>’</w:t>
            </w:r>
            <w:r w:rsidRPr="00652D04">
              <w:rPr>
                <w:rFonts w:eastAsia="Calibri"/>
                <w:szCs w:val="22"/>
                <w:lang w:val="fr-FR"/>
              </w:rPr>
              <w:t>il conviendra de convoquer une conférence diplomatique ou de poursuivre les négociatio</w:t>
            </w:r>
            <w:r w:rsidR="00E70920" w:rsidRPr="00652D04">
              <w:rPr>
                <w:rFonts w:eastAsia="Calibri"/>
                <w:szCs w:val="22"/>
                <w:lang w:val="fr-FR"/>
              </w:rPr>
              <w:t>ns.  El</w:t>
            </w:r>
            <w:r w:rsidRPr="00652D04">
              <w:rPr>
                <w:rFonts w:eastAsia="Calibri"/>
                <w:szCs w:val="22"/>
                <w:lang w:val="fr-FR"/>
              </w:rPr>
              <w:t>le examinera également la nécessité d</w:t>
            </w:r>
            <w:r w:rsidR="00D67156" w:rsidRPr="00652D04">
              <w:rPr>
                <w:rFonts w:eastAsia="Calibri"/>
                <w:szCs w:val="22"/>
                <w:lang w:val="fr-FR"/>
              </w:rPr>
              <w:t>’</w:t>
            </w:r>
            <w:r w:rsidRPr="00652D04">
              <w:rPr>
                <w:rFonts w:eastAsia="Calibri"/>
                <w:szCs w:val="22"/>
                <w:lang w:val="fr-FR"/>
              </w:rPr>
              <w:t>organiser des réunions supplémentaires, compte tenu de la procédure budgétaire.</w:t>
            </w:r>
          </w:p>
        </w:tc>
      </w:tr>
    </w:tbl>
    <w:p w:rsidR="000006CC" w:rsidRPr="00652D04" w:rsidRDefault="000006CC" w:rsidP="007C5FF1">
      <w:pPr>
        <w:tabs>
          <w:tab w:val="num" w:pos="-57"/>
        </w:tabs>
        <w:contextualSpacing/>
        <w:rPr>
          <w:lang w:val="fr-FR"/>
        </w:rPr>
      </w:pPr>
    </w:p>
    <w:p w:rsidR="000006CC" w:rsidRPr="00652D04" w:rsidRDefault="007C5FF1" w:rsidP="007C5FF1">
      <w:pPr>
        <w:pStyle w:val="Heading2"/>
        <w:rPr>
          <w:lang w:val="fr-FR"/>
        </w:rPr>
      </w:pPr>
      <w:r w:rsidRPr="00652D04">
        <w:rPr>
          <w:lang w:val="fr-FR"/>
        </w:rPr>
        <w:t>Point</w:t>
      </w:r>
      <w:r w:rsidR="00B03A49" w:rsidRPr="00652D04">
        <w:rPr>
          <w:lang w:val="fr-FR"/>
        </w:rPr>
        <w:t> </w:t>
      </w:r>
      <w:r w:rsidRPr="00652D04">
        <w:rPr>
          <w:lang w:val="fr-FR"/>
        </w:rPr>
        <w:t>18 de l</w:t>
      </w:r>
      <w:r w:rsidR="00D67156" w:rsidRPr="00652D04">
        <w:rPr>
          <w:lang w:val="fr-FR"/>
        </w:rPr>
        <w:t>’</w:t>
      </w:r>
      <w:r w:rsidRPr="00652D04">
        <w:rPr>
          <w:lang w:val="fr-FR"/>
        </w:rPr>
        <w:t>ordre du jour unifié</w:t>
      </w:r>
    </w:p>
    <w:p w:rsidR="000006CC" w:rsidRPr="00652D04" w:rsidRDefault="007C5FF1" w:rsidP="007C5FF1">
      <w:pPr>
        <w:pStyle w:val="Heading2"/>
        <w:rPr>
          <w:lang w:val="fr-FR"/>
        </w:rPr>
      </w:pPr>
      <w:r w:rsidRPr="00652D04">
        <w:rPr>
          <w:lang w:val="fr-FR"/>
        </w:rPr>
        <w:t>Questions concernant le Comité des normes de l</w:t>
      </w:r>
      <w:r w:rsidR="00D67156" w:rsidRPr="00652D04">
        <w:rPr>
          <w:lang w:val="fr-FR"/>
        </w:rPr>
        <w:t>’</w:t>
      </w:r>
      <w:r w:rsidRPr="00652D04">
        <w:rPr>
          <w:lang w:val="fr-FR"/>
        </w:rPr>
        <w:t>OMPI (CWS)</w:t>
      </w:r>
    </w:p>
    <w:p w:rsidR="000006CC" w:rsidRPr="00652D04" w:rsidRDefault="000006CC" w:rsidP="00D813B7">
      <w:pPr>
        <w:tabs>
          <w:tab w:val="num" w:pos="-57"/>
        </w:tabs>
        <w:contextualSpacing/>
        <w:rPr>
          <w:lang w:val="fr-FR"/>
        </w:rPr>
      </w:pPr>
    </w:p>
    <w:p w:rsidR="000006CC" w:rsidRPr="00652D04" w:rsidRDefault="00D015AB" w:rsidP="00D015AB">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a pris note des “Questions concernant le Comité des normes de l</w:t>
      </w:r>
      <w:r w:rsidR="00D67156" w:rsidRPr="00652D04">
        <w:rPr>
          <w:lang w:val="fr-FR"/>
        </w:rPr>
        <w:t>’</w:t>
      </w:r>
      <w:r w:rsidRPr="00652D04">
        <w:rPr>
          <w:lang w:val="fr-FR"/>
        </w:rPr>
        <w:t>OMPI” (document WO/GA/47/13).</w:t>
      </w:r>
    </w:p>
    <w:p w:rsidR="000006CC" w:rsidRPr="00652D04" w:rsidRDefault="00D015AB" w:rsidP="00652D04">
      <w:pPr>
        <w:pStyle w:val="Heading2"/>
        <w:keepLines/>
        <w:rPr>
          <w:lang w:val="fr-FR"/>
        </w:rPr>
      </w:pPr>
      <w:r w:rsidRPr="00652D04">
        <w:rPr>
          <w:lang w:val="fr-FR"/>
        </w:rPr>
        <w:lastRenderedPageBreak/>
        <w:t>Point</w:t>
      </w:r>
      <w:r w:rsidR="00B03A49" w:rsidRPr="00652D04">
        <w:rPr>
          <w:lang w:val="fr-FR"/>
        </w:rPr>
        <w:t> </w:t>
      </w:r>
      <w:r w:rsidRPr="00652D04">
        <w:rPr>
          <w:lang w:val="fr-FR"/>
        </w:rPr>
        <w:t>19 de l</w:t>
      </w:r>
      <w:r w:rsidR="00D67156" w:rsidRPr="00652D04">
        <w:rPr>
          <w:lang w:val="fr-FR"/>
        </w:rPr>
        <w:t>’</w:t>
      </w:r>
      <w:r w:rsidRPr="00652D04">
        <w:rPr>
          <w:lang w:val="fr-FR"/>
        </w:rPr>
        <w:t>ordre du jour unifié</w:t>
      </w:r>
    </w:p>
    <w:p w:rsidR="000006CC" w:rsidRPr="00652D04" w:rsidRDefault="00D015AB" w:rsidP="00652D04">
      <w:pPr>
        <w:pStyle w:val="Heading2"/>
        <w:keepLines/>
        <w:rPr>
          <w:lang w:val="fr-FR"/>
        </w:rPr>
      </w:pPr>
      <w:r w:rsidRPr="00652D04">
        <w:rPr>
          <w:lang w:val="fr-FR"/>
        </w:rPr>
        <w:t>Système</w:t>
      </w:r>
      <w:r w:rsidR="00D67156" w:rsidRPr="00652D04">
        <w:rPr>
          <w:lang w:val="fr-FR"/>
        </w:rPr>
        <w:t xml:space="preserve"> du PCT</w:t>
      </w:r>
    </w:p>
    <w:p w:rsidR="000006CC" w:rsidRPr="00652D04" w:rsidRDefault="006F5367" w:rsidP="00652D04">
      <w:pPr>
        <w:pStyle w:val="Heading3"/>
        <w:keepLines/>
        <w:rPr>
          <w:lang w:val="fr-FR"/>
        </w:rPr>
      </w:pPr>
      <w:r w:rsidRPr="00652D04">
        <w:rPr>
          <w:lang w:val="fr-FR"/>
        </w:rPr>
        <w:t>Rapport sur le Groupe de travail du PCT</w:t>
      </w:r>
    </w:p>
    <w:p w:rsidR="000006CC" w:rsidRPr="00652D04" w:rsidRDefault="000006CC" w:rsidP="00652D04">
      <w:pPr>
        <w:keepNext/>
        <w:keepLines/>
        <w:rPr>
          <w:lang w:val="fr-FR"/>
        </w:rPr>
      </w:pPr>
    </w:p>
    <w:p w:rsidR="000006CC" w:rsidRPr="00652D04" w:rsidRDefault="006F5367" w:rsidP="00652D04">
      <w:pPr>
        <w:pStyle w:val="ONUMFS"/>
        <w:keepNext/>
        <w:keepLines/>
        <w:numPr>
          <w:ilvl w:val="0"/>
          <w:numId w:val="0"/>
        </w:numPr>
        <w:rPr>
          <w:lang w:val="fr-FR"/>
        </w:rPr>
      </w:pPr>
      <w:r w:rsidRPr="00652D04">
        <w:rPr>
          <w:lang w:val="fr-FR"/>
        </w:rPr>
        <w:t>L</w:t>
      </w:r>
      <w:r w:rsidR="00D67156" w:rsidRPr="00652D04">
        <w:rPr>
          <w:lang w:val="fr-FR"/>
        </w:rPr>
        <w:t>’</w:t>
      </w:r>
      <w:r w:rsidRPr="00652D04">
        <w:rPr>
          <w:lang w:val="fr-FR"/>
        </w:rPr>
        <w:t>assemblée</w:t>
      </w:r>
    </w:p>
    <w:p w:rsidR="000006CC" w:rsidRPr="00652D04" w:rsidRDefault="006F5367" w:rsidP="006F5367">
      <w:pPr>
        <w:pStyle w:val="ONUMFS"/>
        <w:numPr>
          <w:ilvl w:val="0"/>
          <w:numId w:val="0"/>
        </w:numPr>
        <w:rPr>
          <w:lang w:val="fr-FR"/>
        </w:rPr>
      </w:pPr>
      <w:r w:rsidRPr="00652D04">
        <w:rPr>
          <w:lang w:val="fr-FR"/>
        </w:rPr>
        <w:t>i)</w:t>
      </w:r>
      <w:r w:rsidRPr="00652D04">
        <w:rPr>
          <w:lang w:val="fr-FR"/>
        </w:rPr>
        <w:tab/>
        <w:t>a pris note du résumé présenté par le président de la huitième session du groupe de travail figurant dans le document PCT/WG/8/25, et</w:t>
      </w:r>
    </w:p>
    <w:p w:rsidR="000006CC" w:rsidRPr="00652D04" w:rsidRDefault="006F5367" w:rsidP="006F5367">
      <w:pPr>
        <w:pStyle w:val="ONUMFS"/>
        <w:numPr>
          <w:ilvl w:val="0"/>
          <w:numId w:val="0"/>
        </w:numPr>
        <w:rPr>
          <w:lang w:val="fr-FR"/>
        </w:rPr>
      </w:pPr>
      <w:r w:rsidRPr="00652D04">
        <w:rPr>
          <w:lang w:val="fr-FR"/>
        </w:rPr>
        <w:t>ii)</w:t>
      </w:r>
      <w:r w:rsidRPr="00652D04">
        <w:rPr>
          <w:lang w:val="fr-FR"/>
        </w:rPr>
        <w:tab/>
        <w:t>a approuvé la recommandation concernant les travaux futurs du Groupe de travail du PCT énoncée au paragraphe 5 du document PCT/A/47/1.</w:t>
      </w:r>
    </w:p>
    <w:p w:rsidR="000006CC" w:rsidRPr="00652D04" w:rsidRDefault="006F5367" w:rsidP="006F5367">
      <w:pPr>
        <w:pStyle w:val="Heading3"/>
        <w:rPr>
          <w:lang w:val="fr-FR"/>
        </w:rPr>
      </w:pPr>
      <w:r w:rsidRPr="00652D04">
        <w:rPr>
          <w:lang w:val="fr-FR"/>
        </w:rPr>
        <w:t>Travaux des administrations internationales relatifs à la qualité</w:t>
      </w:r>
    </w:p>
    <w:p w:rsidR="000006CC" w:rsidRPr="00652D04" w:rsidRDefault="000006CC" w:rsidP="006F5367">
      <w:pPr>
        <w:rPr>
          <w:lang w:val="fr-FR"/>
        </w:rPr>
      </w:pPr>
    </w:p>
    <w:p w:rsidR="000006CC" w:rsidRPr="00652D04" w:rsidRDefault="006F5367" w:rsidP="006F5367">
      <w:pPr>
        <w:pStyle w:val="ONUMFS"/>
        <w:numPr>
          <w:ilvl w:val="0"/>
          <w:numId w:val="0"/>
        </w:numPr>
        <w:rPr>
          <w:lang w:val="fr-FR"/>
        </w:rPr>
      </w:pPr>
      <w:r w:rsidRPr="00652D04">
        <w:rPr>
          <w:lang w:val="fr-FR"/>
        </w:rPr>
        <w:t>L</w:t>
      </w:r>
      <w:r w:rsidR="00D67156" w:rsidRPr="00652D04">
        <w:rPr>
          <w:lang w:val="fr-FR"/>
        </w:rPr>
        <w:t>’</w:t>
      </w:r>
      <w:r w:rsidRPr="00652D04">
        <w:rPr>
          <w:lang w:val="fr-FR"/>
        </w:rPr>
        <w:t>assemblée a pris note du rapport sur les “Travaux des administrations internationales relatifs à la qualité” figurant dans le document PCT/A/47/2.</w:t>
      </w:r>
    </w:p>
    <w:p w:rsidR="000006CC" w:rsidRPr="00652D04" w:rsidRDefault="006F5367" w:rsidP="006F5367">
      <w:pPr>
        <w:pStyle w:val="Heading3"/>
        <w:rPr>
          <w:lang w:val="fr-FR"/>
        </w:rPr>
      </w:pPr>
      <w:r w:rsidRPr="00652D04">
        <w:rPr>
          <w:lang w:val="fr-FR"/>
        </w:rPr>
        <w:t>Réexamen du système de recherche internationale supplémentaire</w:t>
      </w:r>
    </w:p>
    <w:p w:rsidR="000006CC" w:rsidRPr="00652D04" w:rsidRDefault="000006CC" w:rsidP="006F5367">
      <w:pPr>
        <w:rPr>
          <w:lang w:val="fr-FR"/>
        </w:rPr>
      </w:pPr>
    </w:p>
    <w:p w:rsidR="000006CC" w:rsidRPr="00652D04" w:rsidRDefault="006F5367" w:rsidP="006F5367">
      <w:pPr>
        <w:pStyle w:val="ONUMFS"/>
        <w:numPr>
          <w:ilvl w:val="0"/>
          <w:numId w:val="0"/>
        </w:numPr>
        <w:rPr>
          <w:lang w:val="fr-FR"/>
        </w:rPr>
      </w:pPr>
      <w:r w:rsidRPr="00652D04">
        <w:rPr>
          <w:lang w:val="fr-FR"/>
        </w:rPr>
        <w:t>L</w:t>
      </w:r>
      <w:r w:rsidR="00D67156" w:rsidRPr="00652D04">
        <w:rPr>
          <w:lang w:val="fr-FR"/>
        </w:rPr>
        <w:t>’</w:t>
      </w:r>
      <w:r w:rsidRPr="00652D04">
        <w:rPr>
          <w:lang w:val="fr-FR"/>
        </w:rPr>
        <w:t>assemblée a pris note du réexamen du système de recherche internationale supplémentaire figurant dans le document PCT/A/47/3.</w:t>
      </w:r>
    </w:p>
    <w:p w:rsidR="000006CC" w:rsidRPr="00652D04" w:rsidRDefault="006F5367" w:rsidP="006F5367">
      <w:pPr>
        <w:pStyle w:val="ONUMFS"/>
        <w:numPr>
          <w:ilvl w:val="0"/>
          <w:numId w:val="0"/>
        </w:numPr>
        <w:rPr>
          <w:lang w:val="fr-FR"/>
        </w:rPr>
      </w:pPr>
      <w:r w:rsidRPr="00652D04">
        <w:rPr>
          <w:lang w:val="fr-FR"/>
        </w:rPr>
        <w:t>L</w:t>
      </w:r>
      <w:r w:rsidR="00D67156" w:rsidRPr="00652D04">
        <w:rPr>
          <w:lang w:val="fr-FR"/>
        </w:rPr>
        <w:t>’</w:t>
      </w:r>
      <w:r w:rsidRPr="00652D04">
        <w:rPr>
          <w:lang w:val="fr-FR"/>
        </w:rPr>
        <w:t>assemblée, après avoir réexaminé le système de recherche internationale supplémentaire trois ans après la date d</w:t>
      </w:r>
      <w:r w:rsidR="00D67156" w:rsidRPr="00652D04">
        <w:rPr>
          <w:lang w:val="fr-FR"/>
        </w:rPr>
        <w:t>’</w:t>
      </w:r>
      <w:r w:rsidRPr="00652D04">
        <w:rPr>
          <w:lang w:val="fr-FR"/>
        </w:rPr>
        <w:t>entrée en vigueur de ce système, et une nouvelle fois en 2015, a décidé</w:t>
      </w:r>
    </w:p>
    <w:p w:rsidR="000006CC" w:rsidRPr="00652D04" w:rsidRDefault="006F5367" w:rsidP="006F5367">
      <w:pPr>
        <w:pStyle w:val="ONUMFS"/>
        <w:numPr>
          <w:ilvl w:val="0"/>
          <w:numId w:val="0"/>
        </w:numPr>
        <w:rPr>
          <w:lang w:val="fr-FR"/>
        </w:rPr>
      </w:pPr>
      <w:r w:rsidRPr="00652D04">
        <w:rPr>
          <w:lang w:val="fr-FR"/>
        </w:rPr>
        <w:t>“</w:t>
      </w:r>
      <w:proofErr w:type="gramStart"/>
      <w:r w:rsidRPr="00652D04">
        <w:rPr>
          <w:lang w:val="fr-FR"/>
        </w:rPr>
        <w:t>a</w:t>
      </w:r>
      <w:proofErr w:type="gramEnd"/>
      <w:r w:rsidRPr="00652D04">
        <w:rPr>
          <w:lang w:val="fr-FR"/>
        </w:rPr>
        <w:t>)</w:t>
      </w:r>
      <w:r w:rsidRPr="00652D04">
        <w:rPr>
          <w:lang w:val="fr-FR"/>
        </w:rPr>
        <w:tab/>
        <w:t>d</w:t>
      </w:r>
      <w:r w:rsidR="00D67156" w:rsidRPr="00652D04">
        <w:rPr>
          <w:lang w:val="fr-FR"/>
        </w:rPr>
        <w:t>’</w:t>
      </w:r>
      <w:r w:rsidRPr="00652D04">
        <w:rPr>
          <w:lang w:val="fr-FR"/>
        </w:rPr>
        <w:t>inviter le Bureau international à continuer de suivre de près l</w:t>
      </w:r>
      <w:r w:rsidR="00D67156" w:rsidRPr="00652D04">
        <w:rPr>
          <w:lang w:val="fr-FR"/>
        </w:rPr>
        <w:t>’</w:t>
      </w:r>
      <w:r w:rsidRPr="00652D04">
        <w:rPr>
          <w:lang w:val="fr-FR"/>
        </w:rPr>
        <w:t>évolution du système pendant cinq années supplémentaires et à continuer de rendre compte de cette évolution à la Réunion des administrations internat</w:t>
      </w:r>
      <w:r w:rsidR="00816E56" w:rsidRPr="00652D04">
        <w:rPr>
          <w:lang w:val="fr-FR"/>
        </w:rPr>
        <w:t>ionales et au groupe de travail,</w:t>
      </w:r>
    </w:p>
    <w:p w:rsidR="000006CC" w:rsidRPr="00652D04" w:rsidRDefault="006F5367" w:rsidP="006F5367">
      <w:pPr>
        <w:pStyle w:val="ONUMFS"/>
        <w:numPr>
          <w:ilvl w:val="0"/>
          <w:numId w:val="0"/>
        </w:numPr>
        <w:rPr>
          <w:lang w:val="fr-FR"/>
        </w:rPr>
      </w:pPr>
      <w:r w:rsidRPr="00652D04">
        <w:rPr>
          <w:lang w:val="fr-FR"/>
        </w:rPr>
        <w:t>“b)</w:t>
      </w:r>
      <w:r w:rsidRPr="00652D04">
        <w:rPr>
          <w:lang w:val="fr-FR"/>
        </w:rPr>
        <w:tab/>
        <w:t>d</w:t>
      </w:r>
      <w:r w:rsidR="00D67156" w:rsidRPr="00652D04">
        <w:rPr>
          <w:lang w:val="fr-FR"/>
        </w:rPr>
        <w:t>’</w:t>
      </w:r>
      <w:r w:rsidRPr="00652D04">
        <w:rPr>
          <w:lang w:val="fr-FR"/>
        </w:rPr>
        <w:t>inviter le Bureau international, les administrations internationales, les offices nationaux et les groupes d</w:t>
      </w:r>
      <w:r w:rsidR="00D67156" w:rsidRPr="00652D04">
        <w:rPr>
          <w:lang w:val="fr-FR"/>
        </w:rPr>
        <w:t>’</w:t>
      </w:r>
      <w:r w:rsidRPr="00652D04">
        <w:rPr>
          <w:lang w:val="fr-FR"/>
        </w:rPr>
        <w:t>utilisateurs à poursuivre leurs efforts en vue de promouvoir le service auprès des</w:t>
      </w:r>
      <w:r w:rsidR="00816E56" w:rsidRPr="00652D04">
        <w:rPr>
          <w:lang w:val="fr-FR"/>
        </w:rPr>
        <w:t xml:space="preserve"> utilisateurs du système du PCT,</w:t>
      </w:r>
    </w:p>
    <w:p w:rsidR="000006CC" w:rsidRPr="00652D04" w:rsidRDefault="006F5367" w:rsidP="006F5367">
      <w:pPr>
        <w:pStyle w:val="ONUMFS"/>
        <w:numPr>
          <w:ilvl w:val="0"/>
          <w:numId w:val="0"/>
        </w:numPr>
        <w:rPr>
          <w:lang w:val="fr-FR"/>
        </w:rPr>
      </w:pPr>
      <w:r w:rsidRPr="00652D04">
        <w:rPr>
          <w:lang w:val="fr-FR"/>
        </w:rPr>
        <w:t>“c)</w:t>
      </w:r>
      <w:r w:rsidRPr="00652D04">
        <w:rPr>
          <w:lang w:val="fr-FR"/>
        </w:rPr>
        <w:tab/>
        <w:t>d</w:t>
      </w:r>
      <w:r w:rsidR="00D67156" w:rsidRPr="00652D04">
        <w:rPr>
          <w:lang w:val="fr-FR"/>
        </w:rPr>
        <w:t>’</w:t>
      </w:r>
      <w:r w:rsidRPr="00652D04">
        <w:rPr>
          <w:lang w:val="fr-FR"/>
        </w:rPr>
        <w:t>inviter les administrations internationales proposant le service de recherches internationales supplémentaires à envisager un réexamen des services qu</w:t>
      </w:r>
      <w:r w:rsidR="00D67156" w:rsidRPr="00652D04">
        <w:rPr>
          <w:lang w:val="fr-FR"/>
        </w:rPr>
        <w:t>’</w:t>
      </w:r>
      <w:r w:rsidRPr="00652D04">
        <w:rPr>
          <w:lang w:val="fr-FR"/>
        </w:rPr>
        <w:t>elles fournissent dans le cadre du système et, par conséquent, du montant des taxes qu</w:t>
      </w:r>
      <w:r w:rsidR="00D67156" w:rsidRPr="00652D04">
        <w:rPr>
          <w:lang w:val="fr-FR"/>
        </w:rPr>
        <w:t>’</w:t>
      </w:r>
      <w:r w:rsidRPr="00652D04">
        <w:rPr>
          <w:lang w:val="fr-FR"/>
        </w:rPr>
        <w:t>elles perçoivent pour les services fournis, qui doit être raisonnable;  et d</w:t>
      </w:r>
      <w:r w:rsidR="00D67156" w:rsidRPr="00652D04">
        <w:rPr>
          <w:lang w:val="fr-FR"/>
        </w:rPr>
        <w:t>’</w:t>
      </w:r>
      <w:r w:rsidRPr="00652D04">
        <w:rPr>
          <w:lang w:val="fr-FR"/>
        </w:rPr>
        <w:t>inviter les administrations ne proposant pas ce service à l</w:t>
      </w:r>
      <w:r w:rsidR="00D67156" w:rsidRPr="00652D04">
        <w:rPr>
          <w:lang w:val="fr-FR"/>
        </w:rPr>
        <w:t>’</w:t>
      </w:r>
      <w:r w:rsidRPr="00652D04">
        <w:rPr>
          <w:lang w:val="fr-FR"/>
        </w:rPr>
        <w:t>heure actuelle à envisager de le</w:t>
      </w:r>
      <w:r w:rsidR="00816E56" w:rsidRPr="00652D04">
        <w:rPr>
          <w:lang w:val="fr-FR"/>
        </w:rPr>
        <w:t xml:space="preserve"> proposer dans un proche avenir,</w:t>
      </w:r>
    </w:p>
    <w:p w:rsidR="000006CC" w:rsidRPr="00652D04" w:rsidRDefault="006F5367" w:rsidP="006F5367">
      <w:pPr>
        <w:pStyle w:val="ONUMFS"/>
        <w:numPr>
          <w:ilvl w:val="0"/>
          <w:numId w:val="0"/>
        </w:numPr>
        <w:rPr>
          <w:lang w:val="fr-FR"/>
        </w:rPr>
      </w:pPr>
      <w:r w:rsidRPr="00652D04">
        <w:rPr>
          <w:lang w:val="fr-FR"/>
        </w:rPr>
        <w:t>“d)</w:t>
      </w:r>
      <w:r w:rsidRPr="00652D04">
        <w:rPr>
          <w:lang w:val="fr-FR"/>
        </w:rPr>
        <w:tab/>
        <w:t>de réexaminer le système de nouveau en 2020, en tenant compte de toute évolution enregistrée à cette date, notamment en ce qui concerne la recherche et l</w:t>
      </w:r>
      <w:r w:rsidR="00D67156" w:rsidRPr="00652D04">
        <w:rPr>
          <w:lang w:val="fr-FR"/>
        </w:rPr>
        <w:t>’</w:t>
      </w:r>
      <w:r w:rsidRPr="00652D04">
        <w:rPr>
          <w:lang w:val="fr-FR"/>
        </w:rPr>
        <w:t>examen en collaboration et les efforts visant à améliorer la qualité de la recherche internationale “principale.”</w:t>
      </w:r>
    </w:p>
    <w:p w:rsidR="000006CC" w:rsidRPr="00652D04" w:rsidRDefault="006F5367" w:rsidP="006F5367">
      <w:pPr>
        <w:pStyle w:val="Heading3"/>
        <w:rPr>
          <w:lang w:val="fr-FR"/>
        </w:rPr>
      </w:pPr>
      <w:r w:rsidRPr="00652D04">
        <w:rPr>
          <w:lang w:val="fr-FR"/>
        </w:rPr>
        <w:t>Propositions de modification du règlement d</w:t>
      </w:r>
      <w:r w:rsidR="00D67156" w:rsidRPr="00652D04">
        <w:rPr>
          <w:lang w:val="fr-FR"/>
        </w:rPr>
        <w:t>’</w:t>
      </w:r>
      <w:r w:rsidRPr="00652D04">
        <w:rPr>
          <w:lang w:val="fr-FR"/>
        </w:rPr>
        <w:t>exécution du PCT</w:t>
      </w:r>
    </w:p>
    <w:p w:rsidR="000006CC" w:rsidRPr="00652D04" w:rsidRDefault="000006CC" w:rsidP="006F5367">
      <w:pPr>
        <w:rPr>
          <w:lang w:val="fr-FR"/>
        </w:rPr>
      </w:pPr>
    </w:p>
    <w:p w:rsidR="000006CC" w:rsidRPr="00652D04" w:rsidRDefault="006F5367" w:rsidP="006F5367">
      <w:pPr>
        <w:pStyle w:val="ONUMFS"/>
        <w:numPr>
          <w:ilvl w:val="0"/>
          <w:numId w:val="0"/>
        </w:numPr>
        <w:rPr>
          <w:lang w:val="fr-FR"/>
        </w:rPr>
      </w:pPr>
      <w:r w:rsidRPr="00652D04">
        <w:rPr>
          <w:lang w:val="fr-FR"/>
        </w:rPr>
        <w:t>L</w:t>
      </w:r>
      <w:r w:rsidR="00D67156" w:rsidRPr="00652D04">
        <w:rPr>
          <w:lang w:val="fr-FR"/>
        </w:rPr>
        <w:t>’</w:t>
      </w:r>
      <w:r w:rsidRPr="00652D04">
        <w:rPr>
          <w:lang w:val="fr-FR"/>
        </w:rPr>
        <w:t>assemblée</w:t>
      </w:r>
    </w:p>
    <w:p w:rsidR="000006CC" w:rsidRPr="00652D04" w:rsidRDefault="006F5367" w:rsidP="006F5367">
      <w:pPr>
        <w:pStyle w:val="ONUMFS"/>
        <w:numPr>
          <w:ilvl w:val="0"/>
          <w:numId w:val="0"/>
        </w:numPr>
        <w:rPr>
          <w:lang w:val="fr-FR"/>
        </w:rPr>
      </w:pPr>
      <w:r w:rsidRPr="00652D04">
        <w:rPr>
          <w:lang w:val="fr-FR"/>
        </w:rPr>
        <w:t>i)</w:t>
      </w:r>
      <w:r w:rsidRPr="00652D04">
        <w:rPr>
          <w:lang w:val="fr-FR"/>
        </w:rPr>
        <w:tab/>
        <w:t>a adopté les modifications du règlement d</w:t>
      </w:r>
      <w:r w:rsidR="00D67156" w:rsidRPr="00652D04">
        <w:rPr>
          <w:lang w:val="fr-FR"/>
        </w:rPr>
        <w:t>’</w:t>
      </w:r>
      <w:r w:rsidRPr="00652D04">
        <w:rPr>
          <w:lang w:val="fr-FR"/>
        </w:rPr>
        <w:t>exécution du PCT figurant aux annexes I et II du document PCT/A/47/9</w:t>
      </w:r>
      <w:r w:rsidR="00B03A49" w:rsidRPr="00652D04">
        <w:rPr>
          <w:lang w:val="fr-FR"/>
        </w:rPr>
        <w:t> </w:t>
      </w:r>
      <w:proofErr w:type="spellStart"/>
      <w:r w:rsidRPr="00652D04">
        <w:rPr>
          <w:lang w:val="fr-FR"/>
        </w:rPr>
        <w:t>Prov</w:t>
      </w:r>
      <w:proofErr w:type="spellEnd"/>
      <w:r w:rsidRPr="00652D04">
        <w:rPr>
          <w:lang w:val="fr-FR"/>
        </w:rPr>
        <w:t>.,</w:t>
      </w:r>
    </w:p>
    <w:p w:rsidR="000006CC" w:rsidRPr="00652D04" w:rsidRDefault="006F5367" w:rsidP="006F5367">
      <w:pPr>
        <w:pStyle w:val="ONUMFS"/>
        <w:numPr>
          <w:ilvl w:val="0"/>
          <w:numId w:val="0"/>
        </w:numPr>
        <w:rPr>
          <w:lang w:val="fr-FR"/>
        </w:rPr>
      </w:pPr>
      <w:r w:rsidRPr="00652D04">
        <w:rPr>
          <w:lang w:val="fr-FR"/>
        </w:rPr>
        <w:lastRenderedPageBreak/>
        <w:t>ii)</w:t>
      </w:r>
      <w:r w:rsidRPr="00652D04">
        <w:rPr>
          <w:lang w:val="fr-FR"/>
        </w:rPr>
        <w:tab/>
        <w:t>a décidé que les modifications des règles 9, 26</w:t>
      </w:r>
      <w:r w:rsidRPr="00652D04">
        <w:rPr>
          <w:i/>
          <w:lang w:val="fr-FR"/>
        </w:rPr>
        <w:t>bis</w:t>
      </w:r>
      <w:r w:rsidRPr="00652D04">
        <w:rPr>
          <w:lang w:val="fr-FR"/>
        </w:rPr>
        <w:t>, 48, 82</w:t>
      </w:r>
      <w:r w:rsidRPr="00652D04">
        <w:rPr>
          <w:i/>
          <w:lang w:val="fr-FR"/>
        </w:rPr>
        <w:t>quater</w:t>
      </w:r>
      <w:r w:rsidRPr="00652D04">
        <w:rPr>
          <w:lang w:val="fr-FR"/>
        </w:rPr>
        <w:t>, 92 et 94 exposées à l</w:t>
      </w:r>
      <w:r w:rsidR="00D67156" w:rsidRPr="00652D04">
        <w:rPr>
          <w:lang w:val="fr-FR"/>
        </w:rPr>
        <w:t>’</w:t>
      </w:r>
      <w:r w:rsidRPr="00652D04">
        <w:rPr>
          <w:lang w:val="fr-FR"/>
        </w:rPr>
        <w:t>annexe I du document PCT/A/47/9</w:t>
      </w:r>
      <w:r w:rsidR="00B03A49" w:rsidRPr="00652D04">
        <w:rPr>
          <w:lang w:val="fr-FR"/>
        </w:rPr>
        <w:t> </w:t>
      </w:r>
      <w:proofErr w:type="spellStart"/>
      <w:r w:rsidRPr="00652D04">
        <w:rPr>
          <w:lang w:val="fr-FR"/>
        </w:rPr>
        <w:t>Prov</w:t>
      </w:r>
      <w:proofErr w:type="spellEnd"/>
      <w:r w:rsidRPr="00652D04">
        <w:rPr>
          <w:lang w:val="fr-FR"/>
        </w:rPr>
        <w:t>. entreront en vigueur le 1</w:t>
      </w:r>
      <w:r w:rsidRPr="00652D04">
        <w:rPr>
          <w:vertAlign w:val="superscript"/>
          <w:lang w:val="fr-FR"/>
        </w:rPr>
        <w:t>er</w:t>
      </w:r>
      <w:r w:rsidRPr="00652D04">
        <w:rPr>
          <w:lang w:val="fr-FR"/>
        </w:rPr>
        <w:t> juillet 2016 et s</w:t>
      </w:r>
      <w:r w:rsidR="00D67156" w:rsidRPr="00652D04">
        <w:rPr>
          <w:lang w:val="fr-FR"/>
        </w:rPr>
        <w:t>’</w:t>
      </w:r>
      <w:r w:rsidRPr="00652D04">
        <w:rPr>
          <w:lang w:val="fr-FR"/>
        </w:rPr>
        <w:t>appliqueront à toute demande internationale dont la date de dépôt international est le 1</w:t>
      </w:r>
      <w:r w:rsidRPr="00652D04">
        <w:rPr>
          <w:vertAlign w:val="superscript"/>
          <w:lang w:val="fr-FR"/>
        </w:rPr>
        <w:t>er</w:t>
      </w:r>
      <w:r w:rsidRPr="00652D04">
        <w:rPr>
          <w:lang w:val="fr-FR"/>
        </w:rPr>
        <w:t> juillet 2016 ou une date postérieure,</w:t>
      </w:r>
    </w:p>
    <w:p w:rsidR="000006CC" w:rsidRPr="00652D04" w:rsidRDefault="006F5367" w:rsidP="006F5367">
      <w:pPr>
        <w:pStyle w:val="ONUMFS"/>
        <w:numPr>
          <w:ilvl w:val="0"/>
          <w:numId w:val="0"/>
        </w:numPr>
        <w:rPr>
          <w:lang w:val="fr-FR"/>
        </w:rPr>
      </w:pPr>
      <w:r w:rsidRPr="00652D04">
        <w:rPr>
          <w:lang w:val="fr-FR"/>
        </w:rPr>
        <w:t>iii)</w:t>
      </w:r>
      <w:r w:rsidRPr="00652D04">
        <w:rPr>
          <w:lang w:val="fr-FR"/>
        </w:rPr>
        <w:tab/>
        <w:t>a décidé que les modifications de la règle 82</w:t>
      </w:r>
      <w:r w:rsidRPr="00652D04">
        <w:rPr>
          <w:i/>
          <w:lang w:val="fr-FR"/>
        </w:rPr>
        <w:t>quater</w:t>
      </w:r>
      <w:r w:rsidRPr="00652D04">
        <w:rPr>
          <w:lang w:val="fr-FR"/>
        </w:rPr>
        <w:t xml:space="preserve"> s</w:t>
      </w:r>
      <w:r w:rsidR="00D67156" w:rsidRPr="00652D04">
        <w:rPr>
          <w:lang w:val="fr-FR"/>
        </w:rPr>
        <w:t>’</w:t>
      </w:r>
      <w:r w:rsidRPr="00652D04">
        <w:rPr>
          <w:lang w:val="fr-FR"/>
        </w:rPr>
        <w:t>appliqueront également aux demandes internationales dont la date de dépôt international est antérieure au 1</w:t>
      </w:r>
      <w:r w:rsidRPr="00652D04">
        <w:rPr>
          <w:vertAlign w:val="superscript"/>
          <w:lang w:val="fr-FR"/>
        </w:rPr>
        <w:t>er</w:t>
      </w:r>
      <w:r w:rsidRPr="00652D04">
        <w:rPr>
          <w:lang w:val="fr-FR"/>
        </w:rPr>
        <w:t> juillet 2016, lorsque l</w:t>
      </w:r>
      <w:r w:rsidR="00D67156" w:rsidRPr="00652D04">
        <w:rPr>
          <w:lang w:val="fr-FR"/>
        </w:rPr>
        <w:t>’</w:t>
      </w:r>
      <w:r w:rsidRPr="00652D04">
        <w:rPr>
          <w:lang w:val="fr-FR"/>
        </w:rPr>
        <w:t>événement visé à la règle 82</w:t>
      </w:r>
      <w:r w:rsidRPr="00652D04">
        <w:rPr>
          <w:i/>
          <w:lang w:val="fr-FR"/>
        </w:rPr>
        <w:t>quater</w:t>
      </w:r>
      <w:r w:rsidRPr="00652D04">
        <w:rPr>
          <w:lang w:val="fr-FR"/>
        </w:rPr>
        <w:t>.1a) modifiée se produit le 1</w:t>
      </w:r>
      <w:r w:rsidRPr="00652D04">
        <w:rPr>
          <w:vertAlign w:val="superscript"/>
          <w:lang w:val="fr-FR"/>
        </w:rPr>
        <w:t>er</w:t>
      </w:r>
      <w:r w:rsidRPr="00652D04">
        <w:rPr>
          <w:lang w:val="fr-FR"/>
        </w:rPr>
        <w:t> juillet 2016 ou après cette date,</w:t>
      </w:r>
    </w:p>
    <w:p w:rsidR="000006CC" w:rsidRPr="00652D04" w:rsidRDefault="006F5367" w:rsidP="006F5367">
      <w:pPr>
        <w:pStyle w:val="ONUMFS"/>
        <w:numPr>
          <w:ilvl w:val="0"/>
          <w:numId w:val="0"/>
        </w:numPr>
        <w:rPr>
          <w:lang w:val="fr-FR"/>
        </w:rPr>
      </w:pPr>
      <w:r w:rsidRPr="00652D04">
        <w:rPr>
          <w:lang w:val="fr-FR"/>
        </w:rPr>
        <w:t>iv)</w:t>
      </w:r>
      <w:r w:rsidRPr="00652D04">
        <w:rPr>
          <w:lang w:val="fr-FR"/>
        </w:rPr>
        <w:tab/>
        <w:t>a décidé que les modifications de la règle 92.2.d) s</w:t>
      </w:r>
      <w:r w:rsidR="00D67156" w:rsidRPr="00652D04">
        <w:rPr>
          <w:lang w:val="fr-FR"/>
        </w:rPr>
        <w:t>’</w:t>
      </w:r>
      <w:r w:rsidRPr="00652D04">
        <w:rPr>
          <w:lang w:val="fr-FR"/>
        </w:rPr>
        <w:t>appliqueront également à la correspondance reçue par le Bureau international le 1</w:t>
      </w:r>
      <w:r w:rsidRPr="00652D04">
        <w:rPr>
          <w:vertAlign w:val="superscript"/>
          <w:lang w:val="fr-FR"/>
        </w:rPr>
        <w:t>er</w:t>
      </w:r>
      <w:r w:rsidRPr="00652D04">
        <w:rPr>
          <w:lang w:val="fr-FR"/>
        </w:rPr>
        <w:t> juillet 2016 ou après cette date concernant des demandes internationales dont la date de dépôt international est antérieure au 1</w:t>
      </w:r>
      <w:r w:rsidRPr="00652D04">
        <w:rPr>
          <w:vertAlign w:val="superscript"/>
          <w:lang w:val="fr-FR"/>
        </w:rPr>
        <w:t>er</w:t>
      </w:r>
      <w:r w:rsidRPr="00652D04">
        <w:rPr>
          <w:lang w:val="fr-FR"/>
        </w:rPr>
        <w:t> juillet 2016, dans les conditions prévues lors de la publication des instructions administratives adoptées au titre de cette règle,</w:t>
      </w:r>
    </w:p>
    <w:p w:rsidR="000006CC" w:rsidRPr="00652D04" w:rsidRDefault="006F5367" w:rsidP="006F5367">
      <w:pPr>
        <w:pStyle w:val="ONUMFS"/>
        <w:numPr>
          <w:ilvl w:val="0"/>
          <w:numId w:val="0"/>
        </w:numPr>
        <w:rPr>
          <w:lang w:val="fr-FR"/>
        </w:rPr>
      </w:pPr>
      <w:r w:rsidRPr="00652D04">
        <w:rPr>
          <w:lang w:val="fr-FR"/>
        </w:rPr>
        <w:t>v)</w:t>
      </w:r>
      <w:r w:rsidRPr="00652D04">
        <w:rPr>
          <w:lang w:val="fr-FR"/>
        </w:rPr>
        <w:tab/>
        <w:t>a décidé que les modifications des règles 12</w:t>
      </w:r>
      <w:r w:rsidRPr="00652D04">
        <w:rPr>
          <w:i/>
          <w:lang w:val="fr-FR"/>
        </w:rPr>
        <w:t>bis</w:t>
      </w:r>
      <w:r w:rsidRPr="00652D04">
        <w:rPr>
          <w:lang w:val="fr-FR"/>
        </w:rPr>
        <w:t>, 23</w:t>
      </w:r>
      <w:r w:rsidRPr="00652D04">
        <w:rPr>
          <w:i/>
          <w:lang w:val="fr-FR"/>
        </w:rPr>
        <w:t>bis</w:t>
      </w:r>
      <w:r w:rsidRPr="00652D04">
        <w:rPr>
          <w:lang w:val="fr-FR"/>
        </w:rPr>
        <w:t>, 41, 86 et 95 exposées à l</w:t>
      </w:r>
      <w:r w:rsidR="00D67156" w:rsidRPr="00652D04">
        <w:rPr>
          <w:lang w:val="fr-FR"/>
        </w:rPr>
        <w:t>’</w:t>
      </w:r>
      <w:r w:rsidRPr="00652D04">
        <w:rPr>
          <w:lang w:val="fr-FR"/>
        </w:rPr>
        <w:t>annexe II du présent rapport entreront en vigueur le 1</w:t>
      </w:r>
      <w:r w:rsidRPr="00652D04">
        <w:rPr>
          <w:vertAlign w:val="superscript"/>
          <w:lang w:val="fr-FR"/>
        </w:rPr>
        <w:t>er</w:t>
      </w:r>
      <w:r w:rsidRPr="00652D04">
        <w:rPr>
          <w:lang w:val="fr-FR"/>
        </w:rPr>
        <w:t> juillet 2017 et s</w:t>
      </w:r>
      <w:r w:rsidR="00D67156" w:rsidRPr="00652D04">
        <w:rPr>
          <w:lang w:val="fr-FR"/>
        </w:rPr>
        <w:t>’</w:t>
      </w:r>
      <w:r w:rsidRPr="00652D04">
        <w:rPr>
          <w:lang w:val="fr-FR"/>
        </w:rPr>
        <w:t>appliqueront à toute demande internationale dont la date de dépôt international est le 1</w:t>
      </w:r>
      <w:r w:rsidRPr="00652D04">
        <w:rPr>
          <w:vertAlign w:val="superscript"/>
          <w:lang w:val="fr-FR"/>
        </w:rPr>
        <w:t>er</w:t>
      </w:r>
      <w:r w:rsidRPr="00652D04">
        <w:rPr>
          <w:lang w:val="fr-FR"/>
        </w:rPr>
        <w:t> juillet 2017 ou une date postérieure,</w:t>
      </w:r>
    </w:p>
    <w:p w:rsidR="000006CC" w:rsidRPr="00652D04" w:rsidRDefault="006F5367" w:rsidP="006F5367">
      <w:pPr>
        <w:pStyle w:val="ONUMFS"/>
        <w:numPr>
          <w:ilvl w:val="0"/>
          <w:numId w:val="0"/>
        </w:numPr>
        <w:rPr>
          <w:lang w:val="fr-FR"/>
        </w:rPr>
      </w:pPr>
      <w:r w:rsidRPr="00652D04">
        <w:rPr>
          <w:lang w:val="fr-FR"/>
        </w:rPr>
        <w:t>vi)</w:t>
      </w:r>
      <w:r w:rsidRPr="00652D04">
        <w:rPr>
          <w:lang w:val="fr-FR"/>
        </w:rPr>
        <w:tab/>
        <w:t>a décidé que les modifications des règles 86 et 95 s</w:t>
      </w:r>
      <w:r w:rsidR="00D67156" w:rsidRPr="00652D04">
        <w:rPr>
          <w:lang w:val="fr-FR"/>
        </w:rPr>
        <w:t>’</w:t>
      </w:r>
      <w:r w:rsidRPr="00652D04">
        <w:rPr>
          <w:lang w:val="fr-FR"/>
        </w:rPr>
        <w:t>appliqueront également à toute demande internationale dont la date de dépôt international est antérieure au 1</w:t>
      </w:r>
      <w:r w:rsidRPr="00652D04">
        <w:rPr>
          <w:vertAlign w:val="superscript"/>
          <w:lang w:val="fr-FR"/>
        </w:rPr>
        <w:t>er</w:t>
      </w:r>
      <w:r w:rsidRPr="00652D04">
        <w:rPr>
          <w:lang w:val="fr-FR"/>
        </w:rPr>
        <w:t xml:space="preserve"> juillet 2017, </w:t>
      </w:r>
      <w:r w:rsidR="00D67156" w:rsidRPr="00652D04">
        <w:rPr>
          <w:lang w:val="fr-FR"/>
        </w:rPr>
        <w:t>à l’égard</w:t>
      </w:r>
      <w:r w:rsidRPr="00652D04">
        <w:rPr>
          <w:lang w:val="fr-FR"/>
        </w:rPr>
        <w:t xml:space="preserve"> de laquelle les actes visés à l</w:t>
      </w:r>
      <w:r w:rsidR="00D67156" w:rsidRPr="00652D04">
        <w:rPr>
          <w:lang w:val="fr-FR"/>
        </w:rPr>
        <w:t>’</w:t>
      </w:r>
      <w:r w:rsidRPr="00652D04">
        <w:rPr>
          <w:lang w:val="fr-FR"/>
        </w:rPr>
        <w:t>article 22 ou à l</w:t>
      </w:r>
      <w:r w:rsidR="00D67156" w:rsidRPr="00652D04">
        <w:rPr>
          <w:lang w:val="fr-FR"/>
        </w:rPr>
        <w:t>’</w:t>
      </w:r>
      <w:r w:rsidRPr="00652D04">
        <w:rPr>
          <w:lang w:val="fr-FR"/>
        </w:rPr>
        <w:t>article 39 sont accomplis le 1</w:t>
      </w:r>
      <w:r w:rsidRPr="00652D04">
        <w:rPr>
          <w:vertAlign w:val="superscript"/>
          <w:lang w:val="fr-FR"/>
        </w:rPr>
        <w:t>er</w:t>
      </w:r>
      <w:r w:rsidRPr="00652D04">
        <w:rPr>
          <w:lang w:val="fr-FR"/>
        </w:rPr>
        <w:t> juillet 2017 ou après cette date,</w:t>
      </w:r>
    </w:p>
    <w:p w:rsidR="000006CC" w:rsidRPr="00652D04" w:rsidRDefault="006F5367" w:rsidP="006F5367">
      <w:pPr>
        <w:pStyle w:val="ONUMFS"/>
        <w:numPr>
          <w:ilvl w:val="0"/>
          <w:numId w:val="0"/>
        </w:numPr>
        <w:rPr>
          <w:lang w:val="fr-FR"/>
        </w:rPr>
      </w:pPr>
      <w:r w:rsidRPr="00652D04">
        <w:rPr>
          <w:lang w:val="fr-FR"/>
        </w:rPr>
        <w:t>vii)</w:t>
      </w:r>
      <w:r w:rsidRPr="00652D04">
        <w:rPr>
          <w:lang w:val="fr-FR"/>
        </w:rPr>
        <w:tab/>
        <w:t>a adopté la déclaration interprétative ci</w:t>
      </w:r>
      <w:r w:rsidR="00E70920" w:rsidRPr="00652D04">
        <w:rPr>
          <w:lang w:val="fr-FR"/>
        </w:rPr>
        <w:noBreakHyphen/>
      </w:r>
      <w:r w:rsidRPr="00652D04">
        <w:rPr>
          <w:lang w:val="fr-FR"/>
        </w:rPr>
        <w:t>après concernant les dispositions visant à excuser un retard dans l</w:t>
      </w:r>
      <w:r w:rsidR="00D67156" w:rsidRPr="00652D04">
        <w:rPr>
          <w:lang w:val="fr-FR"/>
        </w:rPr>
        <w:t>’</w:t>
      </w:r>
      <w:r w:rsidRPr="00652D04">
        <w:rPr>
          <w:lang w:val="fr-FR"/>
        </w:rPr>
        <w:t>observation d</w:t>
      </w:r>
      <w:r w:rsidR="00D67156" w:rsidRPr="00652D04">
        <w:rPr>
          <w:lang w:val="fr-FR"/>
        </w:rPr>
        <w:t>’</w:t>
      </w:r>
      <w:r w:rsidRPr="00652D04">
        <w:rPr>
          <w:lang w:val="fr-FR"/>
        </w:rPr>
        <w:t>un délai en raison d</w:t>
      </w:r>
      <w:r w:rsidR="00D67156" w:rsidRPr="00652D04">
        <w:rPr>
          <w:lang w:val="fr-FR"/>
        </w:rPr>
        <w:t>’</w:t>
      </w:r>
      <w:r w:rsidRPr="00652D04">
        <w:rPr>
          <w:lang w:val="fr-FR"/>
        </w:rPr>
        <w:t>une indisponibilité générale des services de communication électronique conformément à la règle 82</w:t>
      </w:r>
      <w:r w:rsidRPr="00652D04">
        <w:rPr>
          <w:i/>
          <w:lang w:val="fr-FR"/>
        </w:rPr>
        <w:t>quater</w:t>
      </w:r>
      <w:r w:rsidRPr="00652D04">
        <w:rPr>
          <w:lang w:val="fr-FR"/>
        </w:rPr>
        <w:t>.1 modifiée :</w:t>
      </w:r>
    </w:p>
    <w:p w:rsidR="000006CC" w:rsidRPr="00652D04" w:rsidRDefault="006F5367" w:rsidP="006F5367">
      <w:pPr>
        <w:pStyle w:val="ONUMFS"/>
        <w:numPr>
          <w:ilvl w:val="0"/>
          <w:numId w:val="0"/>
        </w:numPr>
        <w:ind w:left="567"/>
        <w:rPr>
          <w:lang w:val="fr-FR"/>
        </w:rPr>
      </w:pPr>
      <w:r w:rsidRPr="00652D04">
        <w:rPr>
          <w:lang w:val="fr-FR"/>
        </w:rPr>
        <w:t>“Lorsqu</w:t>
      </w:r>
      <w:r w:rsidR="00D67156" w:rsidRPr="00652D04">
        <w:rPr>
          <w:lang w:val="fr-FR"/>
        </w:rPr>
        <w:t>’</w:t>
      </w:r>
      <w:r w:rsidRPr="00652D04">
        <w:rPr>
          <w:lang w:val="fr-FR"/>
        </w:rPr>
        <w:t>elle a adopté les modifications de la règle 82</w:t>
      </w:r>
      <w:r w:rsidRPr="00652D04">
        <w:rPr>
          <w:i/>
          <w:lang w:val="fr-FR"/>
        </w:rPr>
        <w:t>quater</w:t>
      </w:r>
      <w:r w:rsidRPr="00652D04">
        <w:rPr>
          <w:lang w:val="fr-FR"/>
        </w:rPr>
        <w:t>.1, l</w:t>
      </w:r>
      <w:r w:rsidR="00D67156" w:rsidRPr="00652D04">
        <w:rPr>
          <w:lang w:val="fr-FR"/>
        </w:rPr>
        <w:t>’</w:t>
      </w:r>
      <w:r w:rsidRPr="00652D04">
        <w:rPr>
          <w:lang w:val="fr-FR"/>
        </w:rPr>
        <w:t>assemblée a noté que l</w:t>
      </w:r>
      <w:r w:rsidR="00D67156" w:rsidRPr="00652D04">
        <w:rPr>
          <w:lang w:val="fr-FR"/>
        </w:rPr>
        <w:t>’</w:t>
      </w:r>
      <w:r w:rsidRPr="00652D04">
        <w:rPr>
          <w:lang w:val="fr-FR"/>
        </w:rPr>
        <w:t>office récepteur, l</w:t>
      </w:r>
      <w:r w:rsidR="00D67156" w:rsidRPr="00652D04">
        <w:rPr>
          <w:lang w:val="fr-FR"/>
        </w:rPr>
        <w:t>’</w:t>
      </w:r>
      <w:r w:rsidRPr="00652D04">
        <w:rPr>
          <w:lang w:val="fr-FR"/>
        </w:rPr>
        <w:t>administration chargée de la recherche internationale, l</w:t>
      </w:r>
      <w:r w:rsidR="00D67156" w:rsidRPr="00652D04">
        <w:rPr>
          <w:lang w:val="fr-FR"/>
        </w:rPr>
        <w:t>’</w:t>
      </w:r>
      <w:r w:rsidRPr="00652D04">
        <w:rPr>
          <w:lang w:val="fr-FR"/>
        </w:rPr>
        <w:t>administration indiquée pour la recherche supplémentaire, l</w:t>
      </w:r>
      <w:r w:rsidR="00D67156" w:rsidRPr="00652D04">
        <w:rPr>
          <w:lang w:val="fr-FR"/>
        </w:rPr>
        <w:t>’</w:t>
      </w:r>
      <w:r w:rsidRPr="00652D04">
        <w:rPr>
          <w:lang w:val="fr-FR"/>
        </w:rPr>
        <w:t>administration chargée de l</w:t>
      </w:r>
      <w:r w:rsidR="00D67156" w:rsidRPr="00652D04">
        <w:rPr>
          <w:lang w:val="fr-FR"/>
        </w:rPr>
        <w:t>’</w:t>
      </w:r>
      <w:r w:rsidRPr="00652D04">
        <w:rPr>
          <w:lang w:val="fr-FR"/>
        </w:rPr>
        <w:t>examen préliminaire international ou le Bureau international devait, pour se prononcer sur une demande au titre de la règle 82</w:t>
      </w:r>
      <w:r w:rsidRPr="00652D04">
        <w:rPr>
          <w:i/>
          <w:lang w:val="fr-FR"/>
        </w:rPr>
        <w:t>quater</w:t>
      </w:r>
      <w:r w:rsidRPr="00652D04">
        <w:rPr>
          <w:lang w:val="fr-FR"/>
        </w:rPr>
        <w:t>.1 visant à obtenir l</w:t>
      </w:r>
      <w:r w:rsidR="00D67156" w:rsidRPr="00652D04">
        <w:rPr>
          <w:lang w:val="fr-FR"/>
        </w:rPr>
        <w:t>’</w:t>
      </w:r>
      <w:r w:rsidRPr="00652D04">
        <w:rPr>
          <w:lang w:val="fr-FR"/>
        </w:rPr>
        <w:t>excuse d</w:t>
      </w:r>
      <w:r w:rsidR="00D67156" w:rsidRPr="00652D04">
        <w:rPr>
          <w:lang w:val="fr-FR"/>
        </w:rPr>
        <w:t>’</w:t>
      </w:r>
      <w:r w:rsidRPr="00652D04">
        <w:rPr>
          <w:lang w:val="fr-FR"/>
        </w:rPr>
        <w:t>un retard dans l</w:t>
      </w:r>
      <w:r w:rsidR="00D67156" w:rsidRPr="00652D04">
        <w:rPr>
          <w:lang w:val="fr-FR"/>
        </w:rPr>
        <w:t>’</w:t>
      </w:r>
      <w:r w:rsidRPr="00652D04">
        <w:rPr>
          <w:lang w:val="fr-FR"/>
        </w:rPr>
        <w:t>observation d</w:t>
      </w:r>
      <w:r w:rsidR="00D67156" w:rsidRPr="00652D04">
        <w:rPr>
          <w:lang w:val="fr-FR"/>
        </w:rPr>
        <w:t>’</w:t>
      </w:r>
      <w:r w:rsidRPr="00652D04">
        <w:rPr>
          <w:lang w:val="fr-FR"/>
        </w:rPr>
        <w:t>un délai en raison d</w:t>
      </w:r>
      <w:r w:rsidR="00D67156" w:rsidRPr="00652D04">
        <w:rPr>
          <w:lang w:val="fr-FR"/>
        </w:rPr>
        <w:t>’</w:t>
      </w:r>
      <w:r w:rsidRPr="00652D04">
        <w:rPr>
          <w:lang w:val="fr-FR"/>
        </w:rPr>
        <w:t>une indisponibilité générale des services de communication électronique, interpréter l</w:t>
      </w:r>
      <w:r w:rsidR="00D67156" w:rsidRPr="00652D04">
        <w:rPr>
          <w:lang w:val="fr-FR"/>
        </w:rPr>
        <w:t>’</w:t>
      </w:r>
      <w:r w:rsidRPr="00652D04">
        <w:rPr>
          <w:lang w:val="fr-FR"/>
        </w:rPr>
        <w:t>indisponibilité générale des services de communication électronique comme s</w:t>
      </w:r>
      <w:r w:rsidR="00D67156" w:rsidRPr="00652D04">
        <w:rPr>
          <w:lang w:val="fr-FR"/>
        </w:rPr>
        <w:t>’</w:t>
      </w:r>
      <w:r w:rsidRPr="00652D04">
        <w:rPr>
          <w:lang w:val="fr-FR"/>
        </w:rPr>
        <w:t>appliquant aux interruptions de service qui affectent de vastes étendues géographiques ou de nombreuses personnes, par opposition aux problèmes localisés concernant un bâtiment particulier ou un seul utilisateur.”</w:t>
      </w:r>
    </w:p>
    <w:p w:rsidR="000006CC" w:rsidRPr="00652D04" w:rsidRDefault="006F5367" w:rsidP="006F5367">
      <w:pPr>
        <w:pStyle w:val="ONUMFS"/>
        <w:numPr>
          <w:ilvl w:val="0"/>
          <w:numId w:val="0"/>
        </w:numPr>
        <w:rPr>
          <w:lang w:val="fr-FR"/>
        </w:rPr>
      </w:pPr>
      <w:r w:rsidRPr="00652D04">
        <w:rPr>
          <w:lang w:val="fr-FR"/>
        </w:rPr>
        <w:t>viii)</w:t>
      </w:r>
      <w:r w:rsidRPr="00652D04">
        <w:rPr>
          <w:lang w:val="fr-FR"/>
        </w:rPr>
        <w:tab/>
        <w:t>a adopté la déclaration interprétative ci</w:t>
      </w:r>
      <w:r w:rsidR="00E70920" w:rsidRPr="00652D04">
        <w:rPr>
          <w:lang w:val="fr-FR"/>
        </w:rPr>
        <w:noBreakHyphen/>
      </w:r>
      <w:r w:rsidRPr="00652D04">
        <w:rPr>
          <w:lang w:val="fr-FR"/>
        </w:rPr>
        <w:t>après concernant les informations devant être fournies conformément aux règles 86 et 95 modifiées :</w:t>
      </w:r>
    </w:p>
    <w:p w:rsidR="000006CC" w:rsidRPr="00652D04" w:rsidRDefault="006F5367" w:rsidP="006F5367">
      <w:pPr>
        <w:pStyle w:val="ONUMFS"/>
        <w:numPr>
          <w:ilvl w:val="0"/>
          <w:numId w:val="0"/>
        </w:numPr>
        <w:ind w:left="567"/>
        <w:rPr>
          <w:lang w:val="fr-FR"/>
        </w:rPr>
      </w:pPr>
      <w:r w:rsidRPr="00652D04">
        <w:rPr>
          <w:lang w:val="fr-FR"/>
        </w:rPr>
        <w:t>“Lorsqu</w:t>
      </w:r>
      <w:r w:rsidR="00D67156" w:rsidRPr="00652D04">
        <w:rPr>
          <w:lang w:val="fr-FR"/>
        </w:rPr>
        <w:t>’</w:t>
      </w:r>
      <w:r w:rsidRPr="00652D04">
        <w:rPr>
          <w:lang w:val="fr-FR"/>
        </w:rPr>
        <w:t>elle a adopté les modifications de la règle 86.1.iv), l</w:t>
      </w:r>
      <w:r w:rsidR="00D67156" w:rsidRPr="00652D04">
        <w:rPr>
          <w:lang w:val="fr-FR"/>
        </w:rPr>
        <w:t>’</w:t>
      </w:r>
      <w:r w:rsidRPr="00652D04">
        <w:rPr>
          <w:lang w:val="fr-FR"/>
        </w:rPr>
        <w:t>assemblée a noté que les informations concernant l</w:t>
      </w:r>
      <w:r w:rsidR="00D67156" w:rsidRPr="00652D04">
        <w:rPr>
          <w:lang w:val="fr-FR"/>
        </w:rPr>
        <w:t>’</w:t>
      </w:r>
      <w:r w:rsidRPr="00652D04">
        <w:rPr>
          <w:lang w:val="fr-FR"/>
        </w:rPr>
        <w:t>ouverture de la phase nationale seraient mises à la disposition du public non seulement par voie d</w:t>
      </w:r>
      <w:r w:rsidR="00D67156" w:rsidRPr="00652D04">
        <w:rPr>
          <w:lang w:val="fr-FR"/>
        </w:rPr>
        <w:t>’</w:t>
      </w:r>
      <w:r w:rsidRPr="00652D04">
        <w:rPr>
          <w:lang w:val="fr-FR"/>
        </w:rPr>
        <w:t>inclusion dans la Gazette sur le site Web PATENTSCOPE mais également avec les données bibliographiques fournies en vrac aux offices et autres abonnés des services de données PATENTSCOPE.”</w:t>
      </w:r>
    </w:p>
    <w:p w:rsidR="000006CC" w:rsidRPr="00652D04" w:rsidRDefault="006F5367" w:rsidP="006F5367">
      <w:pPr>
        <w:pStyle w:val="Heading3"/>
        <w:rPr>
          <w:lang w:val="fr-FR"/>
        </w:rPr>
      </w:pPr>
      <w:r w:rsidRPr="00652D04">
        <w:rPr>
          <w:lang w:val="fr-FR"/>
        </w:rPr>
        <w:t>Propositions de modification des directives de l</w:t>
      </w:r>
      <w:r w:rsidR="00D67156" w:rsidRPr="00652D04">
        <w:rPr>
          <w:lang w:val="fr-FR"/>
        </w:rPr>
        <w:t>’</w:t>
      </w:r>
      <w:r w:rsidRPr="00652D04">
        <w:rPr>
          <w:lang w:val="fr-FR"/>
        </w:rPr>
        <w:t>assemblée concernant l</w:t>
      </w:r>
      <w:r w:rsidR="00D67156" w:rsidRPr="00652D04">
        <w:rPr>
          <w:lang w:val="fr-FR"/>
        </w:rPr>
        <w:t>’</w:t>
      </w:r>
      <w:r w:rsidRPr="00652D04">
        <w:rPr>
          <w:lang w:val="fr-FR"/>
        </w:rPr>
        <w:t>établissement des montants équivalents de certaines taxes</w:t>
      </w:r>
    </w:p>
    <w:p w:rsidR="000006CC" w:rsidRPr="00652D04" w:rsidRDefault="000006CC" w:rsidP="006F5367">
      <w:pPr>
        <w:rPr>
          <w:lang w:val="fr-FR"/>
        </w:rPr>
      </w:pPr>
    </w:p>
    <w:p w:rsidR="000006CC" w:rsidRPr="00652D04" w:rsidRDefault="006F5367" w:rsidP="006F5367">
      <w:pPr>
        <w:pStyle w:val="ONUMFS"/>
        <w:numPr>
          <w:ilvl w:val="0"/>
          <w:numId w:val="0"/>
        </w:numPr>
        <w:rPr>
          <w:lang w:val="fr-FR"/>
        </w:rPr>
      </w:pPr>
      <w:r w:rsidRPr="00652D04">
        <w:rPr>
          <w:lang w:val="fr-FR"/>
        </w:rPr>
        <w:t>L</w:t>
      </w:r>
      <w:r w:rsidR="00D67156" w:rsidRPr="00652D04">
        <w:rPr>
          <w:lang w:val="fr-FR"/>
        </w:rPr>
        <w:t>’</w:t>
      </w:r>
      <w:r w:rsidRPr="00652D04">
        <w:rPr>
          <w:lang w:val="fr-FR"/>
        </w:rPr>
        <w:t>assemblée</w:t>
      </w:r>
    </w:p>
    <w:p w:rsidR="000006CC" w:rsidRPr="00652D04" w:rsidRDefault="006F5367" w:rsidP="006F5367">
      <w:pPr>
        <w:pStyle w:val="ONUMFS"/>
        <w:numPr>
          <w:ilvl w:val="0"/>
          <w:numId w:val="0"/>
        </w:numPr>
        <w:rPr>
          <w:lang w:val="fr-FR"/>
        </w:rPr>
      </w:pPr>
      <w:r w:rsidRPr="00652D04">
        <w:rPr>
          <w:lang w:val="fr-FR"/>
        </w:rPr>
        <w:t>i)</w:t>
      </w:r>
      <w:r w:rsidRPr="00652D04">
        <w:rPr>
          <w:lang w:val="fr-FR"/>
        </w:rPr>
        <w:tab/>
        <w:t>a pris note du contenu du document PCT/A/47/5 </w:t>
      </w:r>
      <w:proofErr w:type="spellStart"/>
      <w:r w:rsidRPr="00652D04">
        <w:rPr>
          <w:lang w:val="fr-FR"/>
        </w:rPr>
        <w:t>Rev</w:t>
      </w:r>
      <w:proofErr w:type="spellEnd"/>
      <w:r w:rsidRPr="00652D04">
        <w:rPr>
          <w:lang w:val="fr-FR"/>
        </w:rPr>
        <w:t>.,</w:t>
      </w:r>
    </w:p>
    <w:p w:rsidR="000006CC" w:rsidRPr="00652D04" w:rsidRDefault="006F5367" w:rsidP="006F5367">
      <w:pPr>
        <w:pStyle w:val="ONUMFS"/>
        <w:numPr>
          <w:ilvl w:val="0"/>
          <w:numId w:val="0"/>
        </w:numPr>
        <w:rPr>
          <w:lang w:val="fr-FR"/>
        </w:rPr>
      </w:pPr>
      <w:r w:rsidRPr="00652D04">
        <w:rPr>
          <w:lang w:val="fr-FR"/>
        </w:rPr>
        <w:lastRenderedPageBreak/>
        <w:t>ii)</w:t>
      </w:r>
      <w:r w:rsidRPr="00652D04">
        <w:rPr>
          <w:lang w:val="fr-FR"/>
        </w:rPr>
        <w:tab/>
        <w:t>a invité le Secrétariat à analyser de manière plus approfondie les questions relatives à la mise en œuvre d</w:t>
      </w:r>
      <w:r w:rsidR="00D67156" w:rsidRPr="00652D04">
        <w:rPr>
          <w:lang w:val="fr-FR"/>
        </w:rPr>
        <w:t>’</w:t>
      </w:r>
      <w:r w:rsidRPr="00652D04">
        <w:rPr>
          <w:lang w:val="fr-FR"/>
        </w:rPr>
        <w:t>une stratégie de couverture des risques de change pour les recettes du PCT exposées dans le document WO/PBC/24/INF.3,</w:t>
      </w:r>
    </w:p>
    <w:p w:rsidR="000006CC" w:rsidRPr="00652D04" w:rsidRDefault="006F5367" w:rsidP="006F5367">
      <w:pPr>
        <w:pStyle w:val="ONUMFS"/>
        <w:numPr>
          <w:ilvl w:val="0"/>
          <w:numId w:val="0"/>
        </w:numPr>
        <w:rPr>
          <w:lang w:val="fr-FR"/>
        </w:rPr>
      </w:pPr>
      <w:r w:rsidRPr="00652D04">
        <w:rPr>
          <w:lang w:val="fr-FR"/>
        </w:rPr>
        <w:t>iii)</w:t>
      </w:r>
      <w:r w:rsidRPr="00652D04">
        <w:rPr>
          <w:lang w:val="fr-FR"/>
        </w:rPr>
        <w:tab/>
        <w:t>a reporté toute décision sur les propositions de modification des directives de l</w:t>
      </w:r>
      <w:r w:rsidR="00D67156" w:rsidRPr="00652D04">
        <w:rPr>
          <w:lang w:val="fr-FR"/>
        </w:rPr>
        <w:t>’</w:t>
      </w:r>
      <w:r w:rsidRPr="00652D04">
        <w:rPr>
          <w:lang w:val="fr-FR"/>
        </w:rPr>
        <w:t>assemblée concernant l</w:t>
      </w:r>
      <w:r w:rsidR="00D67156" w:rsidRPr="00652D04">
        <w:rPr>
          <w:lang w:val="fr-FR"/>
        </w:rPr>
        <w:t>’</w:t>
      </w:r>
      <w:r w:rsidRPr="00652D04">
        <w:rPr>
          <w:lang w:val="fr-FR"/>
        </w:rPr>
        <w:t>établissement des montants équivalents de certaines taxes arrêtées par le Groupe de travail du PCT jusqu</w:t>
      </w:r>
      <w:r w:rsidR="00D67156" w:rsidRPr="00652D04">
        <w:rPr>
          <w:lang w:val="fr-FR"/>
        </w:rPr>
        <w:t>’</w:t>
      </w:r>
      <w:r w:rsidRPr="00652D04">
        <w:rPr>
          <w:lang w:val="fr-FR"/>
        </w:rPr>
        <w:t>à ce qu</w:t>
      </w:r>
      <w:r w:rsidR="00D67156" w:rsidRPr="00652D04">
        <w:rPr>
          <w:lang w:val="fr-FR"/>
        </w:rPr>
        <w:t>’</w:t>
      </w:r>
      <w:r w:rsidRPr="00652D04">
        <w:rPr>
          <w:lang w:val="fr-FR"/>
        </w:rPr>
        <w:t>il ait été procédé à cette analyse, et</w:t>
      </w:r>
    </w:p>
    <w:p w:rsidR="000006CC" w:rsidRPr="00652D04" w:rsidRDefault="006F5367" w:rsidP="006F5367">
      <w:pPr>
        <w:pStyle w:val="ONUMFS"/>
        <w:numPr>
          <w:ilvl w:val="0"/>
          <w:numId w:val="0"/>
        </w:numPr>
        <w:rPr>
          <w:lang w:val="fr-FR"/>
        </w:rPr>
      </w:pPr>
      <w:r w:rsidRPr="00652D04">
        <w:rPr>
          <w:lang w:val="fr-FR"/>
        </w:rPr>
        <w:t>iv)</w:t>
      </w:r>
      <w:r w:rsidRPr="00652D04">
        <w:rPr>
          <w:lang w:val="fr-FR"/>
        </w:rPr>
        <w:tab/>
        <w:t>a invité le Secrétariat à soumettre un rapport sur l</w:t>
      </w:r>
      <w:r w:rsidR="00D67156" w:rsidRPr="00652D04">
        <w:rPr>
          <w:lang w:val="fr-FR"/>
        </w:rPr>
        <w:t>’</w:t>
      </w:r>
      <w:r w:rsidRPr="00652D04">
        <w:rPr>
          <w:lang w:val="fr-FR"/>
        </w:rPr>
        <w:t>état d</w:t>
      </w:r>
      <w:r w:rsidR="00D67156" w:rsidRPr="00652D04">
        <w:rPr>
          <w:lang w:val="fr-FR"/>
        </w:rPr>
        <w:t>’</w:t>
      </w:r>
      <w:r w:rsidRPr="00652D04">
        <w:rPr>
          <w:lang w:val="fr-FR"/>
        </w:rPr>
        <w:t>avancement de cette analyse au Groupe de travail du PCT à sa session de 2016.</w:t>
      </w:r>
    </w:p>
    <w:p w:rsidR="000006CC" w:rsidRPr="00652D04" w:rsidRDefault="006F5367" w:rsidP="006F5367">
      <w:pPr>
        <w:pStyle w:val="Heading3"/>
        <w:rPr>
          <w:lang w:val="fr-FR"/>
        </w:rPr>
      </w:pPr>
      <w:r w:rsidRPr="00652D04">
        <w:rPr>
          <w:lang w:val="fr-FR"/>
        </w:rPr>
        <w:t>Nomination de l</w:t>
      </w:r>
      <w:r w:rsidR="00D67156" w:rsidRPr="00652D04">
        <w:rPr>
          <w:lang w:val="fr-FR"/>
        </w:rPr>
        <w:t>’</w:t>
      </w:r>
      <w:r w:rsidRPr="00652D04">
        <w:rPr>
          <w:lang w:val="fr-FR"/>
        </w:rPr>
        <w:t xml:space="preserve">Institut des brevets de </w:t>
      </w:r>
      <w:proofErr w:type="spellStart"/>
      <w:r w:rsidRPr="00652D04">
        <w:rPr>
          <w:lang w:val="fr-FR"/>
        </w:rPr>
        <w:t>Visegrad</w:t>
      </w:r>
      <w:proofErr w:type="spellEnd"/>
      <w:r w:rsidRPr="00652D04">
        <w:rPr>
          <w:lang w:val="fr-FR"/>
        </w:rPr>
        <w:t xml:space="preserve"> en qualité d</w:t>
      </w:r>
      <w:r w:rsidR="00D67156" w:rsidRPr="00652D04">
        <w:rPr>
          <w:lang w:val="fr-FR"/>
        </w:rPr>
        <w:t>’</w:t>
      </w:r>
      <w:r w:rsidRPr="00652D04">
        <w:rPr>
          <w:lang w:val="fr-FR"/>
        </w:rPr>
        <w:t>administration chargée de la recherche internationale et de l</w:t>
      </w:r>
      <w:r w:rsidR="00D67156" w:rsidRPr="00652D04">
        <w:rPr>
          <w:lang w:val="fr-FR"/>
        </w:rPr>
        <w:t>’</w:t>
      </w:r>
      <w:r w:rsidRPr="00652D04">
        <w:rPr>
          <w:lang w:val="fr-FR"/>
        </w:rPr>
        <w:t>examen préliminaire international selon le PCT</w:t>
      </w:r>
    </w:p>
    <w:p w:rsidR="000006CC" w:rsidRPr="00652D04" w:rsidRDefault="000006CC" w:rsidP="006F5367">
      <w:pPr>
        <w:rPr>
          <w:lang w:val="fr-FR"/>
        </w:rPr>
      </w:pPr>
    </w:p>
    <w:p w:rsidR="000006CC" w:rsidRPr="00652D04" w:rsidRDefault="006F5367" w:rsidP="006F5367">
      <w:pPr>
        <w:pStyle w:val="ONUMFS"/>
        <w:numPr>
          <w:ilvl w:val="0"/>
          <w:numId w:val="0"/>
        </w:numPr>
        <w:rPr>
          <w:lang w:val="fr-FR"/>
        </w:rPr>
      </w:pPr>
      <w:r w:rsidRPr="00652D04">
        <w:rPr>
          <w:lang w:val="fr-FR"/>
        </w:rPr>
        <w:t>L</w:t>
      </w:r>
      <w:r w:rsidR="00D67156" w:rsidRPr="00652D04">
        <w:rPr>
          <w:lang w:val="fr-FR"/>
        </w:rPr>
        <w:t>’</w:t>
      </w:r>
      <w:r w:rsidRPr="00652D04">
        <w:rPr>
          <w:lang w:val="fr-FR"/>
        </w:rPr>
        <w:t>assemblée, ayant entendu le représentant de l</w:t>
      </w:r>
      <w:r w:rsidR="00D67156" w:rsidRPr="00652D04">
        <w:rPr>
          <w:lang w:val="fr-FR"/>
        </w:rPr>
        <w:t>’</w:t>
      </w:r>
      <w:r w:rsidRPr="00652D04">
        <w:rPr>
          <w:lang w:val="fr-FR"/>
        </w:rPr>
        <w:t xml:space="preserve">Institut des brevets de </w:t>
      </w:r>
      <w:proofErr w:type="spellStart"/>
      <w:r w:rsidRPr="00652D04">
        <w:rPr>
          <w:lang w:val="fr-FR"/>
        </w:rPr>
        <w:t>Visegrad</w:t>
      </w:r>
      <w:proofErr w:type="spellEnd"/>
      <w:r w:rsidRPr="00652D04">
        <w:rPr>
          <w:lang w:val="fr-FR"/>
        </w:rPr>
        <w:t xml:space="preserve"> et tenant compte de l</w:t>
      </w:r>
      <w:r w:rsidR="00D67156" w:rsidRPr="00652D04">
        <w:rPr>
          <w:lang w:val="fr-FR"/>
        </w:rPr>
        <w:t>’</w:t>
      </w:r>
      <w:r w:rsidRPr="00652D04">
        <w:rPr>
          <w:lang w:val="fr-FR"/>
        </w:rPr>
        <w:t>avis du Comité de coopération technique du PCT figurant au paragraphe 5 du document PCT/A/47/6,</w:t>
      </w:r>
    </w:p>
    <w:p w:rsidR="000006CC" w:rsidRPr="00652D04" w:rsidRDefault="006F5367" w:rsidP="006F5367">
      <w:pPr>
        <w:pStyle w:val="ONUMFS"/>
        <w:numPr>
          <w:ilvl w:val="0"/>
          <w:numId w:val="0"/>
        </w:numPr>
        <w:rPr>
          <w:lang w:val="fr-FR"/>
        </w:rPr>
      </w:pPr>
      <w:r w:rsidRPr="00652D04">
        <w:rPr>
          <w:lang w:val="fr-FR"/>
        </w:rPr>
        <w:t>i)</w:t>
      </w:r>
      <w:r w:rsidRPr="00652D04">
        <w:rPr>
          <w:lang w:val="fr-FR"/>
        </w:rPr>
        <w:tab/>
        <w:t>a approuvé le texte du projet d</w:t>
      </w:r>
      <w:r w:rsidR="00D67156" w:rsidRPr="00652D04">
        <w:rPr>
          <w:lang w:val="fr-FR"/>
        </w:rPr>
        <w:t>’</w:t>
      </w:r>
      <w:r w:rsidRPr="00652D04">
        <w:rPr>
          <w:lang w:val="fr-FR"/>
        </w:rPr>
        <w:t>accord entre l</w:t>
      </w:r>
      <w:r w:rsidR="00D67156" w:rsidRPr="00652D04">
        <w:rPr>
          <w:lang w:val="fr-FR"/>
        </w:rPr>
        <w:t>’</w:t>
      </w:r>
      <w:r w:rsidRPr="00652D04">
        <w:rPr>
          <w:lang w:val="fr-FR"/>
        </w:rPr>
        <w:t xml:space="preserve">Institut des brevets de </w:t>
      </w:r>
      <w:proofErr w:type="spellStart"/>
      <w:r w:rsidRPr="00652D04">
        <w:rPr>
          <w:lang w:val="fr-FR"/>
        </w:rPr>
        <w:t>Visegrad</w:t>
      </w:r>
      <w:proofErr w:type="spellEnd"/>
      <w:r w:rsidRPr="00652D04">
        <w:rPr>
          <w:lang w:val="fr-FR"/>
        </w:rPr>
        <w:t xml:space="preserve"> et le Bureau international figurant à l</w:t>
      </w:r>
      <w:r w:rsidR="00D67156" w:rsidRPr="00652D04">
        <w:rPr>
          <w:lang w:val="fr-FR"/>
        </w:rPr>
        <w:t>’</w:t>
      </w:r>
      <w:r w:rsidRPr="00652D04">
        <w:rPr>
          <w:lang w:val="fr-FR"/>
        </w:rPr>
        <w:t>annexe du document PCT/A/47/6</w:t>
      </w:r>
      <w:r w:rsidR="00890EAC" w:rsidRPr="00652D04">
        <w:rPr>
          <w:lang w:val="fr-FR"/>
        </w:rPr>
        <w:t>,</w:t>
      </w:r>
      <w:r w:rsidRPr="00652D04">
        <w:rPr>
          <w:lang w:val="fr-FR"/>
        </w:rPr>
        <w:t xml:space="preserve"> et</w:t>
      </w:r>
    </w:p>
    <w:p w:rsidR="000006CC" w:rsidRPr="00652D04" w:rsidRDefault="006F5367" w:rsidP="006F5367">
      <w:pPr>
        <w:pStyle w:val="ONUMFS"/>
        <w:numPr>
          <w:ilvl w:val="0"/>
          <w:numId w:val="0"/>
        </w:numPr>
        <w:rPr>
          <w:lang w:val="fr-FR"/>
        </w:rPr>
      </w:pPr>
      <w:r w:rsidRPr="00652D04">
        <w:rPr>
          <w:lang w:val="fr-FR"/>
        </w:rPr>
        <w:t>ii)</w:t>
      </w:r>
      <w:r w:rsidRPr="00652D04">
        <w:rPr>
          <w:lang w:val="fr-FR"/>
        </w:rPr>
        <w:tab/>
        <w:t>a nommé l</w:t>
      </w:r>
      <w:r w:rsidR="00D67156" w:rsidRPr="00652D04">
        <w:rPr>
          <w:lang w:val="fr-FR"/>
        </w:rPr>
        <w:t>’</w:t>
      </w:r>
      <w:r w:rsidRPr="00652D04">
        <w:rPr>
          <w:lang w:val="fr-FR"/>
        </w:rPr>
        <w:t xml:space="preserve">Institut des brevets de </w:t>
      </w:r>
      <w:proofErr w:type="spellStart"/>
      <w:r w:rsidRPr="00652D04">
        <w:rPr>
          <w:lang w:val="fr-FR"/>
        </w:rPr>
        <w:t>Visegrad</w:t>
      </w:r>
      <w:proofErr w:type="spellEnd"/>
      <w:r w:rsidRPr="00652D04">
        <w:rPr>
          <w:lang w:val="fr-FR"/>
        </w:rPr>
        <w:t xml:space="preserve"> en qualité d</w:t>
      </w:r>
      <w:r w:rsidR="00D67156" w:rsidRPr="00652D04">
        <w:rPr>
          <w:lang w:val="fr-FR"/>
        </w:rPr>
        <w:t>’</w:t>
      </w:r>
      <w:r w:rsidRPr="00652D04">
        <w:rPr>
          <w:lang w:val="fr-FR"/>
        </w:rPr>
        <w:t>administration chargée de la recherche internationale et d</w:t>
      </w:r>
      <w:r w:rsidR="00D67156" w:rsidRPr="00652D04">
        <w:rPr>
          <w:lang w:val="fr-FR"/>
        </w:rPr>
        <w:t>’</w:t>
      </w:r>
      <w:r w:rsidRPr="00652D04">
        <w:rPr>
          <w:lang w:val="fr-FR"/>
        </w:rPr>
        <w:t>administration chargée de l</w:t>
      </w:r>
      <w:r w:rsidR="00D67156" w:rsidRPr="00652D04">
        <w:rPr>
          <w:lang w:val="fr-FR"/>
        </w:rPr>
        <w:t>’</w:t>
      </w:r>
      <w:r w:rsidRPr="00652D04">
        <w:rPr>
          <w:lang w:val="fr-FR"/>
        </w:rPr>
        <w:t>examen préliminaire international pour la période comprise entre l</w:t>
      </w:r>
      <w:r w:rsidR="00D67156" w:rsidRPr="00652D04">
        <w:rPr>
          <w:lang w:val="fr-FR"/>
        </w:rPr>
        <w:t>’</w:t>
      </w:r>
      <w:r w:rsidRPr="00652D04">
        <w:rPr>
          <w:lang w:val="fr-FR"/>
        </w:rPr>
        <w:t>entrée en vigueur dudit accord et le 31 décembre 2017.</w:t>
      </w:r>
    </w:p>
    <w:p w:rsidR="000006CC" w:rsidRPr="00652D04" w:rsidRDefault="006F5367" w:rsidP="006F5367">
      <w:pPr>
        <w:pStyle w:val="Heading3"/>
        <w:rPr>
          <w:lang w:val="fr-FR"/>
        </w:rPr>
      </w:pPr>
      <w:r w:rsidRPr="00652D04">
        <w:rPr>
          <w:lang w:val="fr-FR"/>
        </w:rPr>
        <w:t>Modification de l</w:t>
      </w:r>
      <w:r w:rsidR="00D67156" w:rsidRPr="00652D04">
        <w:rPr>
          <w:lang w:val="fr-FR"/>
        </w:rPr>
        <w:t>’</w:t>
      </w:r>
      <w:r w:rsidRPr="00652D04">
        <w:rPr>
          <w:lang w:val="fr-FR"/>
        </w:rPr>
        <w:t>accord concernant les fonctions de l</w:t>
      </w:r>
      <w:r w:rsidR="00D67156" w:rsidRPr="00652D04">
        <w:rPr>
          <w:lang w:val="fr-FR"/>
        </w:rPr>
        <w:t>’</w:t>
      </w:r>
      <w:r w:rsidRPr="00652D04">
        <w:rPr>
          <w:lang w:val="fr-FR"/>
        </w:rPr>
        <w:t>Office d</w:t>
      </w:r>
      <w:r w:rsidR="00D67156" w:rsidRPr="00652D04">
        <w:rPr>
          <w:lang w:val="fr-FR"/>
        </w:rPr>
        <w:t>’</w:t>
      </w:r>
      <w:r w:rsidRPr="00652D04">
        <w:rPr>
          <w:lang w:val="fr-FR"/>
        </w:rPr>
        <w:t>État de la propriété intellectuelle de l</w:t>
      </w:r>
      <w:r w:rsidR="00D67156" w:rsidRPr="00652D04">
        <w:rPr>
          <w:lang w:val="fr-FR"/>
        </w:rPr>
        <w:t>’</w:t>
      </w:r>
      <w:r w:rsidRPr="00652D04">
        <w:rPr>
          <w:lang w:val="fr-FR"/>
        </w:rPr>
        <w:t>Ukraine en qualité d</w:t>
      </w:r>
      <w:r w:rsidR="00D67156" w:rsidRPr="00652D04">
        <w:rPr>
          <w:lang w:val="fr-FR"/>
        </w:rPr>
        <w:t>’</w:t>
      </w:r>
      <w:r w:rsidRPr="00652D04">
        <w:rPr>
          <w:lang w:val="fr-FR"/>
        </w:rPr>
        <w:t>administration chargée de la recherche internationale et de l</w:t>
      </w:r>
      <w:r w:rsidR="00D67156" w:rsidRPr="00652D04">
        <w:rPr>
          <w:lang w:val="fr-FR"/>
        </w:rPr>
        <w:t>’</w:t>
      </w:r>
      <w:r w:rsidRPr="00652D04">
        <w:rPr>
          <w:lang w:val="fr-FR"/>
        </w:rPr>
        <w:t>examen préliminaire international au titre du PCT</w:t>
      </w:r>
    </w:p>
    <w:p w:rsidR="000006CC" w:rsidRPr="00652D04" w:rsidRDefault="000006CC" w:rsidP="006F5367">
      <w:pPr>
        <w:rPr>
          <w:lang w:val="fr-FR"/>
        </w:rPr>
      </w:pPr>
    </w:p>
    <w:p w:rsidR="000006CC" w:rsidRPr="00652D04" w:rsidRDefault="006F5367" w:rsidP="006F5367">
      <w:pPr>
        <w:pStyle w:val="ONUMFS"/>
        <w:numPr>
          <w:ilvl w:val="0"/>
          <w:numId w:val="0"/>
        </w:numPr>
        <w:rPr>
          <w:lang w:val="fr-FR"/>
        </w:rPr>
      </w:pPr>
      <w:r w:rsidRPr="00652D04">
        <w:rPr>
          <w:lang w:val="fr-FR"/>
        </w:rPr>
        <w:t>L</w:t>
      </w:r>
      <w:r w:rsidR="00D67156" w:rsidRPr="00652D04">
        <w:rPr>
          <w:lang w:val="fr-FR"/>
        </w:rPr>
        <w:t>’</w:t>
      </w:r>
      <w:r w:rsidRPr="00652D04">
        <w:rPr>
          <w:lang w:val="fr-FR"/>
        </w:rPr>
        <w:t>assemblée</w:t>
      </w:r>
    </w:p>
    <w:p w:rsidR="000006CC" w:rsidRPr="00652D04" w:rsidRDefault="006F5367" w:rsidP="006F5367">
      <w:pPr>
        <w:pStyle w:val="ONUMFS"/>
        <w:numPr>
          <w:ilvl w:val="0"/>
          <w:numId w:val="0"/>
        </w:numPr>
        <w:rPr>
          <w:lang w:val="fr-FR"/>
        </w:rPr>
      </w:pPr>
      <w:r w:rsidRPr="00652D04">
        <w:rPr>
          <w:lang w:val="fr-FR"/>
        </w:rPr>
        <w:t>i)</w:t>
      </w:r>
      <w:r w:rsidRPr="00652D04">
        <w:rPr>
          <w:lang w:val="fr-FR"/>
        </w:rPr>
        <w:tab/>
        <w:t>a pris note du contenu du document PCT/A/47/7</w:t>
      </w:r>
      <w:r w:rsidR="00890EAC" w:rsidRPr="00652D04">
        <w:rPr>
          <w:lang w:val="fr-FR"/>
        </w:rPr>
        <w:t>,</w:t>
      </w:r>
      <w:r w:rsidRPr="00652D04">
        <w:rPr>
          <w:lang w:val="fr-FR"/>
        </w:rPr>
        <w:t xml:space="preserve"> et</w:t>
      </w:r>
    </w:p>
    <w:p w:rsidR="000006CC" w:rsidRPr="00652D04" w:rsidRDefault="006F5367" w:rsidP="006F5367">
      <w:pPr>
        <w:pStyle w:val="ONUMFS"/>
        <w:numPr>
          <w:ilvl w:val="0"/>
          <w:numId w:val="0"/>
        </w:numPr>
        <w:rPr>
          <w:lang w:val="fr-FR"/>
        </w:rPr>
      </w:pPr>
      <w:r w:rsidRPr="00652D04">
        <w:rPr>
          <w:lang w:val="fr-FR"/>
        </w:rPr>
        <w:t>ii)</w:t>
      </w:r>
      <w:r w:rsidRPr="00652D04">
        <w:rPr>
          <w:lang w:val="fr-FR"/>
        </w:rPr>
        <w:tab/>
        <w:t>a approuvé les modifications apportées à l</w:t>
      </w:r>
      <w:r w:rsidR="00D67156" w:rsidRPr="00652D04">
        <w:rPr>
          <w:lang w:val="fr-FR"/>
        </w:rPr>
        <w:t>’</w:t>
      </w:r>
      <w:r w:rsidRPr="00652D04">
        <w:rPr>
          <w:lang w:val="fr-FR"/>
        </w:rPr>
        <w:t>accord entre l</w:t>
      </w:r>
      <w:r w:rsidR="00D67156" w:rsidRPr="00652D04">
        <w:rPr>
          <w:lang w:val="fr-FR"/>
        </w:rPr>
        <w:t>’</w:t>
      </w:r>
      <w:r w:rsidRPr="00652D04">
        <w:rPr>
          <w:lang w:val="fr-FR"/>
        </w:rPr>
        <w:t>Office d</w:t>
      </w:r>
      <w:r w:rsidR="00D67156" w:rsidRPr="00652D04">
        <w:rPr>
          <w:lang w:val="fr-FR"/>
        </w:rPr>
        <w:t>’</w:t>
      </w:r>
      <w:r w:rsidRPr="00652D04">
        <w:rPr>
          <w:lang w:val="fr-FR"/>
        </w:rPr>
        <w:t>État de la propriété intellectuelle de l</w:t>
      </w:r>
      <w:r w:rsidR="00D67156" w:rsidRPr="00652D04">
        <w:rPr>
          <w:lang w:val="fr-FR"/>
        </w:rPr>
        <w:t>’</w:t>
      </w:r>
      <w:r w:rsidRPr="00652D04">
        <w:rPr>
          <w:lang w:val="fr-FR"/>
        </w:rPr>
        <w:t>Ukraine et le Bureau international qui sont indiquées dans l</w:t>
      </w:r>
      <w:r w:rsidR="00D67156" w:rsidRPr="00652D04">
        <w:rPr>
          <w:lang w:val="fr-FR"/>
        </w:rPr>
        <w:t>’</w:t>
      </w:r>
      <w:r w:rsidRPr="00652D04">
        <w:rPr>
          <w:lang w:val="fr-FR"/>
        </w:rPr>
        <w:t>annexe du document PCT/A/47/7.</w:t>
      </w:r>
    </w:p>
    <w:p w:rsidR="000006CC" w:rsidRPr="00652D04" w:rsidRDefault="006F5367" w:rsidP="006F5367">
      <w:pPr>
        <w:pStyle w:val="Heading3"/>
        <w:rPr>
          <w:lang w:val="fr-FR"/>
        </w:rPr>
      </w:pPr>
      <w:r w:rsidRPr="00652D04">
        <w:rPr>
          <w:lang w:val="fr-FR"/>
        </w:rPr>
        <w:t>Questions concernant l</w:t>
      </w:r>
      <w:r w:rsidR="00D67156" w:rsidRPr="00652D04">
        <w:rPr>
          <w:lang w:val="fr-FR"/>
        </w:rPr>
        <w:t>’</w:t>
      </w:r>
      <w:r w:rsidRPr="00652D04">
        <w:rPr>
          <w:lang w:val="fr-FR"/>
        </w:rPr>
        <w:t>Union de Lisbonne : Proposition des États</w:t>
      </w:r>
      <w:r w:rsidR="00E70920" w:rsidRPr="00652D04">
        <w:rPr>
          <w:lang w:val="fr-FR"/>
        </w:rPr>
        <w:noBreakHyphen/>
      </w:r>
      <w:r w:rsidRPr="00652D04">
        <w:rPr>
          <w:lang w:val="fr-FR"/>
        </w:rPr>
        <w:t>Unis d</w:t>
      </w:r>
      <w:r w:rsidR="00D67156" w:rsidRPr="00652D04">
        <w:rPr>
          <w:lang w:val="fr-FR"/>
        </w:rPr>
        <w:t>’</w:t>
      </w:r>
      <w:r w:rsidRPr="00652D04">
        <w:rPr>
          <w:lang w:val="fr-FR"/>
        </w:rPr>
        <w:t>Amérique à l</w:t>
      </w:r>
      <w:r w:rsidR="00D67156" w:rsidRPr="00652D04">
        <w:rPr>
          <w:lang w:val="fr-FR"/>
        </w:rPr>
        <w:t>’</w:t>
      </w:r>
      <w:r w:rsidRPr="00652D04">
        <w:rPr>
          <w:lang w:val="fr-FR"/>
        </w:rPr>
        <w:t>intention de l</w:t>
      </w:r>
      <w:r w:rsidR="00D67156" w:rsidRPr="00652D04">
        <w:rPr>
          <w:lang w:val="fr-FR"/>
        </w:rPr>
        <w:t>’</w:t>
      </w:r>
      <w:r w:rsidRPr="00652D04">
        <w:rPr>
          <w:lang w:val="fr-FR"/>
        </w:rPr>
        <w:t>Assemblée de l</w:t>
      </w:r>
      <w:r w:rsidR="00D67156" w:rsidRPr="00652D04">
        <w:rPr>
          <w:lang w:val="fr-FR"/>
        </w:rPr>
        <w:t>’</w:t>
      </w:r>
      <w:r w:rsidRPr="00652D04">
        <w:rPr>
          <w:lang w:val="fr-FR"/>
        </w:rPr>
        <w:t>Union internationale de coopération en matière de brevets</w:t>
      </w:r>
    </w:p>
    <w:p w:rsidR="000006CC" w:rsidRPr="00652D04" w:rsidRDefault="000006CC" w:rsidP="00073272">
      <w:pPr>
        <w:rPr>
          <w:lang w:val="fr-FR"/>
        </w:rPr>
      </w:pPr>
    </w:p>
    <w:p w:rsidR="000006CC" w:rsidRPr="00652D04" w:rsidRDefault="00F425EF" w:rsidP="0046575C">
      <w:pPr>
        <w:rPr>
          <w:lang w:val="fr-FR"/>
        </w:rPr>
      </w:pPr>
      <w:r w:rsidRPr="00652D04">
        <w:rPr>
          <w:lang w:val="fr-FR"/>
        </w:rPr>
        <w:t>L</w:t>
      </w:r>
      <w:r w:rsidR="00D67156" w:rsidRPr="00652D04">
        <w:rPr>
          <w:lang w:val="fr-FR"/>
        </w:rPr>
        <w:t>’</w:t>
      </w:r>
      <w:r w:rsidRPr="00652D04">
        <w:rPr>
          <w:lang w:val="fr-FR"/>
        </w:rPr>
        <w:t>Assemblée de l</w:t>
      </w:r>
      <w:r w:rsidR="00D67156" w:rsidRPr="00652D04">
        <w:rPr>
          <w:lang w:val="fr-FR"/>
        </w:rPr>
        <w:t>’</w:t>
      </w:r>
      <w:r w:rsidRPr="00652D04">
        <w:rPr>
          <w:lang w:val="fr-FR"/>
        </w:rPr>
        <w:t>Union</w:t>
      </w:r>
      <w:r w:rsidR="00D67156" w:rsidRPr="00652D04">
        <w:rPr>
          <w:lang w:val="fr-FR"/>
        </w:rPr>
        <w:t xml:space="preserve"> du PCT</w:t>
      </w:r>
      <w:r w:rsidRPr="00652D04">
        <w:rPr>
          <w:lang w:val="fr-FR"/>
        </w:rPr>
        <w:t xml:space="preserve"> a examiné le document</w:t>
      </w:r>
      <w:r w:rsidR="0046575C" w:rsidRPr="00652D04">
        <w:rPr>
          <w:lang w:val="fr-FR"/>
        </w:rPr>
        <w:t xml:space="preserve"> PCT/A/47/8 </w:t>
      </w:r>
      <w:r w:rsidR="008069BD" w:rsidRPr="00652D04">
        <w:rPr>
          <w:lang w:val="fr-FR"/>
        </w:rPr>
        <w:t>mais</w:t>
      </w:r>
      <w:r w:rsidRPr="00652D04">
        <w:rPr>
          <w:lang w:val="fr-FR"/>
        </w:rPr>
        <w:t xml:space="preserve"> n</w:t>
      </w:r>
      <w:r w:rsidR="00D67156" w:rsidRPr="00652D04">
        <w:rPr>
          <w:lang w:val="fr-FR"/>
        </w:rPr>
        <w:t>’</w:t>
      </w:r>
      <w:r w:rsidRPr="00652D04">
        <w:rPr>
          <w:lang w:val="fr-FR"/>
        </w:rPr>
        <w:t>est pas parvenue à un consensus</w:t>
      </w:r>
      <w:r w:rsidR="0046575C" w:rsidRPr="00652D04">
        <w:rPr>
          <w:lang w:val="fr-FR"/>
        </w:rPr>
        <w:t>.</w:t>
      </w:r>
    </w:p>
    <w:p w:rsidR="000006CC" w:rsidRPr="00652D04" w:rsidRDefault="000006CC" w:rsidP="0046575C">
      <w:pPr>
        <w:rPr>
          <w:lang w:val="fr-FR"/>
        </w:rPr>
      </w:pPr>
    </w:p>
    <w:p w:rsidR="000006CC" w:rsidRPr="00652D04" w:rsidRDefault="0040549F" w:rsidP="00CA6BB3">
      <w:pPr>
        <w:pStyle w:val="Heading2"/>
        <w:rPr>
          <w:lang w:val="fr-FR"/>
        </w:rPr>
      </w:pPr>
      <w:r w:rsidRPr="00652D04">
        <w:rPr>
          <w:lang w:val="fr-FR"/>
        </w:rPr>
        <w:t>Point</w:t>
      </w:r>
      <w:r w:rsidR="00B03A49" w:rsidRPr="00652D04">
        <w:rPr>
          <w:lang w:val="fr-FR"/>
        </w:rPr>
        <w:t> </w:t>
      </w:r>
      <w:r w:rsidRPr="00652D04">
        <w:rPr>
          <w:lang w:val="fr-FR"/>
        </w:rPr>
        <w:t>20 de l</w:t>
      </w:r>
      <w:r w:rsidR="00D67156" w:rsidRPr="00652D04">
        <w:rPr>
          <w:lang w:val="fr-FR"/>
        </w:rPr>
        <w:t>’</w:t>
      </w:r>
      <w:r w:rsidRPr="00652D04">
        <w:rPr>
          <w:lang w:val="fr-FR"/>
        </w:rPr>
        <w:t>ordre du jour unifié</w:t>
      </w:r>
    </w:p>
    <w:p w:rsidR="000006CC" w:rsidRPr="00652D04" w:rsidRDefault="0040549F" w:rsidP="00CA6BB3">
      <w:pPr>
        <w:pStyle w:val="Heading2"/>
        <w:rPr>
          <w:lang w:val="fr-FR"/>
        </w:rPr>
      </w:pPr>
      <w:r w:rsidRPr="00652D04">
        <w:rPr>
          <w:lang w:val="fr-FR"/>
        </w:rPr>
        <w:t>Système de Madrid</w:t>
      </w:r>
    </w:p>
    <w:p w:rsidR="000006CC" w:rsidRPr="00652D04" w:rsidRDefault="00CA6BB3" w:rsidP="00CA6BB3">
      <w:pPr>
        <w:pStyle w:val="Heading3"/>
        <w:rPr>
          <w:lang w:val="fr-FR"/>
        </w:rPr>
      </w:pPr>
      <w:r w:rsidRPr="00652D04">
        <w:rPr>
          <w:lang w:val="fr-FR"/>
        </w:rPr>
        <w:t>Rapport final sur le programme de modernisation informatique (système d</w:t>
      </w:r>
      <w:r w:rsidR="00D67156" w:rsidRPr="00652D04">
        <w:rPr>
          <w:lang w:val="fr-FR"/>
        </w:rPr>
        <w:t>’</w:t>
      </w:r>
      <w:r w:rsidRPr="00652D04">
        <w:rPr>
          <w:lang w:val="fr-FR"/>
        </w:rPr>
        <w:t>enregistrement international de Madrid)</w:t>
      </w:r>
    </w:p>
    <w:p w:rsidR="000006CC" w:rsidRPr="00652D04" w:rsidRDefault="000006CC" w:rsidP="00CA6BB3">
      <w:pPr>
        <w:rPr>
          <w:lang w:val="fr-FR"/>
        </w:rPr>
      </w:pPr>
    </w:p>
    <w:p w:rsidR="000006CC" w:rsidRPr="00652D04" w:rsidRDefault="00CA6BB3" w:rsidP="00CA6BB3">
      <w:pPr>
        <w:pStyle w:val="ONUMFS"/>
        <w:numPr>
          <w:ilvl w:val="0"/>
          <w:numId w:val="0"/>
        </w:numPr>
        <w:rPr>
          <w:lang w:val="fr-FR"/>
        </w:rPr>
      </w:pPr>
      <w:r w:rsidRPr="00652D04">
        <w:rPr>
          <w:lang w:val="fr-FR"/>
        </w:rPr>
        <w:t>L</w:t>
      </w:r>
      <w:r w:rsidR="00D67156" w:rsidRPr="00652D04">
        <w:rPr>
          <w:lang w:val="fr-FR"/>
        </w:rPr>
        <w:t>’</w:t>
      </w:r>
      <w:r w:rsidRPr="00652D04">
        <w:rPr>
          <w:lang w:val="fr-FR"/>
        </w:rPr>
        <w:t>assemblée a pris note du “Rapport final sur le programme de modernisation informatique (système d</w:t>
      </w:r>
      <w:r w:rsidR="00D67156" w:rsidRPr="00652D04">
        <w:rPr>
          <w:lang w:val="fr-FR"/>
        </w:rPr>
        <w:t>’</w:t>
      </w:r>
      <w:r w:rsidRPr="00652D04">
        <w:rPr>
          <w:lang w:val="fr-FR"/>
        </w:rPr>
        <w:t>enregistrement international de Madrid)” (document MM/A/49/1).</w:t>
      </w:r>
    </w:p>
    <w:p w:rsidR="000006CC" w:rsidRPr="00652D04" w:rsidRDefault="00CA6BB3" w:rsidP="00CA6BB3">
      <w:pPr>
        <w:pStyle w:val="Heading3"/>
        <w:rPr>
          <w:lang w:val="fr-FR"/>
        </w:rPr>
      </w:pPr>
      <w:r w:rsidRPr="00652D04">
        <w:rPr>
          <w:lang w:val="fr-FR"/>
        </w:rPr>
        <w:lastRenderedPageBreak/>
        <w:t>Rapport sur l</w:t>
      </w:r>
      <w:r w:rsidR="00D67156" w:rsidRPr="00652D04">
        <w:rPr>
          <w:lang w:val="fr-FR"/>
        </w:rPr>
        <w:t>’</w:t>
      </w:r>
      <w:r w:rsidRPr="00652D04">
        <w:rPr>
          <w:lang w:val="fr-FR"/>
        </w:rPr>
        <w:t>état d</w:t>
      </w:r>
      <w:r w:rsidR="00D67156" w:rsidRPr="00652D04">
        <w:rPr>
          <w:lang w:val="fr-FR"/>
        </w:rPr>
        <w:t>’</w:t>
      </w:r>
      <w:r w:rsidRPr="00652D04">
        <w:rPr>
          <w:lang w:val="fr-FR"/>
        </w:rPr>
        <w:t>avancement de la base de données sur les produits et services du système de Madrid</w:t>
      </w:r>
    </w:p>
    <w:p w:rsidR="000006CC" w:rsidRPr="00652D04" w:rsidRDefault="000006CC" w:rsidP="00CA6BB3">
      <w:pPr>
        <w:rPr>
          <w:lang w:val="fr-FR"/>
        </w:rPr>
      </w:pPr>
    </w:p>
    <w:p w:rsidR="000006CC" w:rsidRPr="00652D04" w:rsidRDefault="00CA6BB3" w:rsidP="00CA6BB3">
      <w:pPr>
        <w:pStyle w:val="ONUMFS"/>
        <w:numPr>
          <w:ilvl w:val="0"/>
          <w:numId w:val="0"/>
        </w:numPr>
        <w:rPr>
          <w:lang w:val="fr-FR"/>
        </w:rPr>
      </w:pPr>
      <w:r w:rsidRPr="00652D04">
        <w:rPr>
          <w:lang w:val="fr-FR"/>
        </w:rPr>
        <w:t>L</w:t>
      </w:r>
      <w:r w:rsidR="00D67156" w:rsidRPr="00652D04">
        <w:rPr>
          <w:lang w:val="fr-FR"/>
        </w:rPr>
        <w:t>’</w:t>
      </w:r>
      <w:r w:rsidRPr="00652D04">
        <w:rPr>
          <w:lang w:val="fr-FR"/>
        </w:rPr>
        <w:t>assemblée</w:t>
      </w:r>
    </w:p>
    <w:p w:rsidR="000006CC" w:rsidRPr="00652D04" w:rsidRDefault="00CA6BB3" w:rsidP="00CA6BB3">
      <w:pPr>
        <w:pStyle w:val="ONUMFS"/>
        <w:numPr>
          <w:ilvl w:val="0"/>
          <w:numId w:val="0"/>
        </w:numPr>
        <w:rPr>
          <w:lang w:val="fr-FR"/>
        </w:rPr>
      </w:pPr>
      <w:r w:rsidRPr="00652D04">
        <w:rPr>
          <w:lang w:val="fr-FR"/>
        </w:rPr>
        <w:t>i)</w:t>
      </w:r>
      <w:r w:rsidRPr="00652D04">
        <w:rPr>
          <w:lang w:val="fr-FR"/>
        </w:rPr>
        <w:tab/>
        <w:t xml:space="preserve">a pris note </w:t>
      </w:r>
      <w:r w:rsidRPr="00652D04">
        <w:rPr>
          <w:iCs/>
          <w:szCs w:val="22"/>
          <w:lang w:val="fr-FR"/>
        </w:rPr>
        <w:t>du “Rapport sur l</w:t>
      </w:r>
      <w:r w:rsidR="00D67156" w:rsidRPr="00652D04">
        <w:rPr>
          <w:iCs/>
          <w:szCs w:val="22"/>
          <w:lang w:val="fr-FR"/>
        </w:rPr>
        <w:t>’</w:t>
      </w:r>
      <w:r w:rsidRPr="00652D04">
        <w:rPr>
          <w:iCs/>
          <w:szCs w:val="22"/>
          <w:lang w:val="fr-FR"/>
        </w:rPr>
        <w:t>état d</w:t>
      </w:r>
      <w:r w:rsidR="00D67156" w:rsidRPr="00652D04">
        <w:rPr>
          <w:iCs/>
          <w:szCs w:val="22"/>
          <w:lang w:val="fr-FR"/>
        </w:rPr>
        <w:t>’</w:t>
      </w:r>
      <w:r w:rsidRPr="00652D04">
        <w:rPr>
          <w:iCs/>
          <w:szCs w:val="22"/>
          <w:lang w:val="fr-FR"/>
        </w:rPr>
        <w:t>avancement de la base de données sur les produits et services du système de Madrid” (document MM/A/49/2), et notamment de son paragraphe 27 sur le solde des crédits affectés au projet</w:t>
      </w:r>
      <w:r w:rsidR="00890EAC" w:rsidRPr="00652D04">
        <w:rPr>
          <w:iCs/>
          <w:szCs w:val="22"/>
          <w:lang w:val="fr-FR"/>
        </w:rPr>
        <w:t>,</w:t>
      </w:r>
      <w:r w:rsidRPr="00652D04">
        <w:rPr>
          <w:lang w:val="fr-FR"/>
        </w:rPr>
        <w:t xml:space="preserve"> et</w:t>
      </w:r>
    </w:p>
    <w:p w:rsidR="000006CC" w:rsidRPr="00652D04" w:rsidRDefault="00CA6BB3" w:rsidP="00CA6BB3">
      <w:pPr>
        <w:pStyle w:val="ONUMFS"/>
        <w:numPr>
          <w:ilvl w:val="0"/>
          <w:numId w:val="0"/>
        </w:numPr>
        <w:rPr>
          <w:lang w:val="fr-FR"/>
        </w:rPr>
      </w:pPr>
      <w:r w:rsidRPr="00652D04">
        <w:rPr>
          <w:lang w:val="fr-FR"/>
        </w:rPr>
        <w:t>ii)</w:t>
      </w:r>
      <w:r w:rsidRPr="00652D04">
        <w:rPr>
          <w:lang w:val="fr-FR"/>
        </w:rPr>
        <w:tab/>
        <w:t>a prié le Bureau international de lui présenter en 2016 un nouveau rapport sur l</w:t>
      </w:r>
      <w:r w:rsidR="00D67156" w:rsidRPr="00652D04">
        <w:rPr>
          <w:lang w:val="fr-FR"/>
        </w:rPr>
        <w:t>’</w:t>
      </w:r>
      <w:r w:rsidRPr="00652D04">
        <w:rPr>
          <w:lang w:val="fr-FR"/>
        </w:rPr>
        <w:t>état d</w:t>
      </w:r>
      <w:r w:rsidR="00D67156" w:rsidRPr="00652D04">
        <w:rPr>
          <w:lang w:val="fr-FR"/>
        </w:rPr>
        <w:t>’</w:t>
      </w:r>
      <w:r w:rsidRPr="00652D04">
        <w:rPr>
          <w:lang w:val="fr-FR"/>
        </w:rPr>
        <w:t>avancement de la base de données sur les produits et services du système de Madrid, en indiquant en particulier l</w:t>
      </w:r>
      <w:r w:rsidR="00D67156" w:rsidRPr="00652D04">
        <w:rPr>
          <w:lang w:val="fr-FR"/>
        </w:rPr>
        <w:t>’</w:t>
      </w:r>
      <w:r w:rsidRPr="00652D04">
        <w:rPr>
          <w:lang w:val="fr-FR"/>
        </w:rPr>
        <w:t>utilisation faite du solde des crédits affectés au projet.</w:t>
      </w:r>
    </w:p>
    <w:p w:rsidR="000006CC" w:rsidRPr="00652D04" w:rsidRDefault="00CA6BB3" w:rsidP="00CA6BB3">
      <w:pPr>
        <w:pStyle w:val="Heading3"/>
        <w:rPr>
          <w:lang w:val="fr-FR"/>
        </w:rPr>
      </w:pPr>
      <w:r w:rsidRPr="00652D04">
        <w:rPr>
          <w:lang w:val="fr-FR"/>
        </w:rPr>
        <w:t>Propositions de modification du règlement d</w:t>
      </w:r>
      <w:r w:rsidR="00D67156" w:rsidRPr="00652D04">
        <w:rPr>
          <w:lang w:val="fr-FR"/>
        </w:rPr>
        <w:t>’</w:t>
      </w:r>
      <w:r w:rsidRPr="00652D04">
        <w:rPr>
          <w:lang w:val="fr-FR"/>
        </w:rPr>
        <w:t>exécution commun à l</w:t>
      </w:r>
      <w:r w:rsidR="00D67156" w:rsidRPr="00652D04">
        <w:rPr>
          <w:lang w:val="fr-FR"/>
        </w:rPr>
        <w:t>’</w:t>
      </w:r>
      <w:r w:rsidRPr="00652D04">
        <w:rPr>
          <w:lang w:val="fr-FR"/>
        </w:rPr>
        <w:t>Arrangement de Madrid concernant l</w:t>
      </w:r>
      <w:r w:rsidR="00D67156" w:rsidRPr="00652D04">
        <w:rPr>
          <w:lang w:val="fr-FR"/>
        </w:rPr>
        <w:t>’</w:t>
      </w:r>
      <w:r w:rsidRPr="00652D04">
        <w:rPr>
          <w:lang w:val="fr-FR"/>
        </w:rPr>
        <w:t>enregistrement international des marques et au Protocole relatif à cet Arrangement</w:t>
      </w:r>
    </w:p>
    <w:p w:rsidR="000006CC" w:rsidRPr="00652D04" w:rsidRDefault="000006CC" w:rsidP="00CA6BB3">
      <w:pPr>
        <w:rPr>
          <w:lang w:val="fr-FR"/>
        </w:rPr>
      </w:pPr>
    </w:p>
    <w:p w:rsidR="000006CC" w:rsidRPr="00652D04" w:rsidRDefault="00CA6BB3" w:rsidP="00CA6BB3">
      <w:pPr>
        <w:pStyle w:val="ONUMFS"/>
        <w:numPr>
          <w:ilvl w:val="0"/>
          <w:numId w:val="0"/>
        </w:numPr>
        <w:rPr>
          <w:lang w:val="fr-FR"/>
        </w:rPr>
      </w:pPr>
      <w:r w:rsidRPr="00652D04">
        <w:rPr>
          <w:lang w:val="fr-FR"/>
        </w:rPr>
        <w:t>L</w:t>
      </w:r>
      <w:r w:rsidR="00D67156" w:rsidRPr="00652D04">
        <w:rPr>
          <w:lang w:val="fr-FR"/>
        </w:rPr>
        <w:t>’</w:t>
      </w:r>
      <w:r w:rsidRPr="00652D04">
        <w:rPr>
          <w:lang w:val="fr-FR"/>
        </w:rPr>
        <w:t>assemblée a adopté les modifications des règles 5 et 36 du règlement d</w:t>
      </w:r>
      <w:r w:rsidR="00D67156" w:rsidRPr="00652D04">
        <w:rPr>
          <w:lang w:val="fr-FR"/>
        </w:rPr>
        <w:t>’</w:t>
      </w:r>
      <w:r w:rsidRPr="00652D04">
        <w:rPr>
          <w:lang w:val="fr-FR"/>
        </w:rPr>
        <w:t>exécution commun avec une date d</w:t>
      </w:r>
      <w:r w:rsidR="00D67156" w:rsidRPr="00652D04">
        <w:rPr>
          <w:lang w:val="fr-FR"/>
        </w:rPr>
        <w:t>’</w:t>
      </w:r>
      <w:r w:rsidRPr="00652D04">
        <w:rPr>
          <w:lang w:val="fr-FR"/>
        </w:rPr>
        <w:t>entrée en vigueur fixée au 1</w:t>
      </w:r>
      <w:r w:rsidRPr="00652D04">
        <w:rPr>
          <w:vertAlign w:val="superscript"/>
          <w:lang w:val="fr-FR"/>
        </w:rPr>
        <w:t>er</w:t>
      </w:r>
      <w:r w:rsidRPr="00652D04">
        <w:rPr>
          <w:lang w:val="fr-FR"/>
        </w:rPr>
        <w:t> avril 2016 et les modifications des règles 9 et 24 du règlement d</w:t>
      </w:r>
      <w:r w:rsidR="00D67156" w:rsidRPr="00652D04">
        <w:rPr>
          <w:lang w:val="fr-FR"/>
        </w:rPr>
        <w:t>’</w:t>
      </w:r>
      <w:r w:rsidRPr="00652D04">
        <w:rPr>
          <w:lang w:val="fr-FR"/>
        </w:rPr>
        <w:t>exécution commun avec une date d</w:t>
      </w:r>
      <w:r w:rsidR="00D67156" w:rsidRPr="00652D04">
        <w:rPr>
          <w:lang w:val="fr-FR"/>
        </w:rPr>
        <w:t>’</w:t>
      </w:r>
      <w:r w:rsidRPr="00652D04">
        <w:rPr>
          <w:lang w:val="fr-FR"/>
        </w:rPr>
        <w:t>entrée en vigueur fixée au 1</w:t>
      </w:r>
      <w:r w:rsidRPr="00652D04">
        <w:rPr>
          <w:vertAlign w:val="superscript"/>
          <w:lang w:val="fr-FR"/>
        </w:rPr>
        <w:t>er</w:t>
      </w:r>
      <w:r w:rsidRPr="00652D04">
        <w:rPr>
          <w:lang w:val="fr-FR"/>
        </w:rPr>
        <w:t> novembre 2017, comme indiqué dans les annexes des “Propositions de modification du règlement d</w:t>
      </w:r>
      <w:r w:rsidR="00D67156" w:rsidRPr="00652D04">
        <w:rPr>
          <w:lang w:val="fr-FR"/>
        </w:rPr>
        <w:t>’</w:t>
      </w:r>
      <w:r w:rsidRPr="00652D04">
        <w:rPr>
          <w:lang w:val="fr-FR"/>
        </w:rPr>
        <w:t>exécution commun à l</w:t>
      </w:r>
      <w:r w:rsidR="00D67156" w:rsidRPr="00652D04">
        <w:rPr>
          <w:lang w:val="fr-FR"/>
        </w:rPr>
        <w:t>’</w:t>
      </w:r>
      <w:r w:rsidRPr="00652D04">
        <w:rPr>
          <w:lang w:val="fr-FR"/>
        </w:rPr>
        <w:t>Arrangement de Madrid concernant l</w:t>
      </w:r>
      <w:r w:rsidR="00D67156" w:rsidRPr="00652D04">
        <w:rPr>
          <w:lang w:val="fr-FR"/>
        </w:rPr>
        <w:t>’</w:t>
      </w:r>
      <w:r w:rsidRPr="00652D04">
        <w:rPr>
          <w:lang w:val="fr-FR"/>
        </w:rPr>
        <w:t>enregistrement international des marques et au Protocole relatif à cet Arrangement” (document MM/A/49/3).</w:t>
      </w:r>
    </w:p>
    <w:p w:rsidR="000006CC" w:rsidRPr="00652D04" w:rsidRDefault="00CA6BB3" w:rsidP="00CA6BB3">
      <w:pPr>
        <w:pStyle w:val="Heading3"/>
        <w:rPr>
          <w:lang w:val="fr-FR"/>
        </w:rPr>
      </w:pPr>
      <w:r w:rsidRPr="00652D04">
        <w:rPr>
          <w:lang w:val="fr-FR"/>
        </w:rPr>
        <w:t>Questions concernant les Unions de Madrid et de Lisbonne : proposition des États</w:t>
      </w:r>
      <w:r w:rsidR="00E70920" w:rsidRPr="00652D04">
        <w:rPr>
          <w:lang w:val="fr-FR"/>
        </w:rPr>
        <w:noBreakHyphen/>
      </w:r>
      <w:r w:rsidRPr="00652D04">
        <w:rPr>
          <w:lang w:val="fr-FR"/>
        </w:rPr>
        <w:t>Unis d</w:t>
      </w:r>
      <w:r w:rsidR="00D67156" w:rsidRPr="00652D04">
        <w:rPr>
          <w:lang w:val="fr-FR"/>
        </w:rPr>
        <w:t>’</w:t>
      </w:r>
      <w:r w:rsidRPr="00652D04">
        <w:rPr>
          <w:lang w:val="fr-FR"/>
        </w:rPr>
        <w:t>Amérique à l</w:t>
      </w:r>
      <w:r w:rsidR="00D67156" w:rsidRPr="00652D04">
        <w:rPr>
          <w:lang w:val="fr-FR"/>
        </w:rPr>
        <w:t>’</w:t>
      </w:r>
      <w:r w:rsidRPr="00652D04">
        <w:rPr>
          <w:lang w:val="fr-FR"/>
        </w:rPr>
        <w:t>intention de l</w:t>
      </w:r>
      <w:r w:rsidR="00D67156" w:rsidRPr="00652D04">
        <w:rPr>
          <w:lang w:val="fr-FR"/>
        </w:rPr>
        <w:t>’</w:t>
      </w:r>
      <w:r w:rsidRPr="00652D04">
        <w:rPr>
          <w:lang w:val="fr-FR"/>
        </w:rPr>
        <w:t>Assemblée de l</w:t>
      </w:r>
      <w:r w:rsidR="00D67156" w:rsidRPr="00652D04">
        <w:rPr>
          <w:lang w:val="fr-FR"/>
        </w:rPr>
        <w:t>’</w:t>
      </w:r>
      <w:r w:rsidRPr="00652D04">
        <w:rPr>
          <w:lang w:val="fr-FR"/>
        </w:rPr>
        <w:t>Union de Madrid</w:t>
      </w:r>
    </w:p>
    <w:p w:rsidR="000006CC" w:rsidRPr="00652D04" w:rsidRDefault="000006CC" w:rsidP="00AB49A0">
      <w:pPr>
        <w:rPr>
          <w:rFonts w:eastAsia="Times New Roman"/>
          <w:lang w:val="fr-FR" w:eastAsia="en-US"/>
        </w:rPr>
      </w:pPr>
    </w:p>
    <w:p w:rsidR="000006CC" w:rsidRPr="00652D04" w:rsidRDefault="007E0555" w:rsidP="00CA6BB3">
      <w:pPr>
        <w:pStyle w:val="ONUMFS"/>
        <w:numPr>
          <w:ilvl w:val="0"/>
          <w:numId w:val="0"/>
        </w:numPr>
        <w:rPr>
          <w:lang w:val="fr-FR"/>
        </w:rPr>
      </w:pPr>
      <w:r w:rsidRPr="00652D04">
        <w:rPr>
          <w:lang w:val="fr-FR"/>
        </w:rPr>
        <w:t>L</w:t>
      </w:r>
      <w:r w:rsidR="00D67156" w:rsidRPr="00652D04">
        <w:rPr>
          <w:lang w:val="fr-FR"/>
        </w:rPr>
        <w:t>’</w:t>
      </w:r>
      <w:r w:rsidRPr="00652D04">
        <w:rPr>
          <w:lang w:val="fr-FR"/>
        </w:rPr>
        <w:t>Assemblée de l</w:t>
      </w:r>
      <w:r w:rsidR="00D67156" w:rsidRPr="00652D04">
        <w:rPr>
          <w:lang w:val="fr-FR"/>
        </w:rPr>
        <w:t>’</w:t>
      </w:r>
      <w:r w:rsidRPr="00652D04">
        <w:rPr>
          <w:lang w:val="fr-FR"/>
        </w:rPr>
        <w:t xml:space="preserve">Union de Madrid a examiné le </w:t>
      </w:r>
      <w:r w:rsidR="0046575C" w:rsidRPr="00652D04">
        <w:rPr>
          <w:lang w:val="fr-FR"/>
        </w:rPr>
        <w:t xml:space="preserve">document MM/A/49/4 </w:t>
      </w:r>
      <w:r w:rsidR="008069BD" w:rsidRPr="00652D04">
        <w:rPr>
          <w:lang w:val="fr-FR"/>
        </w:rPr>
        <w:t>mais</w:t>
      </w:r>
      <w:r w:rsidRPr="00652D04">
        <w:rPr>
          <w:lang w:val="fr-FR"/>
        </w:rPr>
        <w:t xml:space="preserve"> n</w:t>
      </w:r>
      <w:r w:rsidR="00D67156" w:rsidRPr="00652D04">
        <w:rPr>
          <w:lang w:val="fr-FR"/>
        </w:rPr>
        <w:t>’</w:t>
      </w:r>
      <w:r w:rsidRPr="00652D04">
        <w:rPr>
          <w:lang w:val="fr-FR"/>
        </w:rPr>
        <w:t>est pas parvenue à un consensus</w:t>
      </w:r>
      <w:r w:rsidR="0046575C" w:rsidRPr="00652D04">
        <w:rPr>
          <w:lang w:val="fr-FR"/>
        </w:rPr>
        <w:t>.</w:t>
      </w:r>
    </w:p>
    <w:p w:rsidR="000006CC" w:rsidRPr="00652D04" w:rsidRDefault="00B37165" w:rsidP="00B37165">
      <w:pPr>
        <w:pStyle w:val="Heading2"/>
        <w:rPr>
          <w:lang w:val="fr-FR"/>
        </w:rPr>
      </w:pPr>
      <w:r w:rsidRPr="00652D04">
        <w:rPr>
          <w:lang w:val="fr-FR"/>
        </w:rPr>
        <w:t>Point</w:t>
      </w:r>
      <w:r w:rsidR="00B03A49" w:rsidRPr="00652D04">
        <w:rPr>
          <w:lang w:val="fr-FR"/>
        </w:rPr>
        <w:t> </w:t>
      </w:r>
      <w:r w:rsidRPr="00652D04">
        <w:rPr>
          <w:lang w:val="fr-FR"/>
        </w:rPr>
        <w:t>21 de l</w:t>
      </w:r>
      <w:r w:rsidR="00D67156" w:rsidRPr="00652D04">
        <w:rPr>
          <w:lang w:val="fr-FR"/>
        </w:rPr>
        <w:t>’</w:t>
      </w:r>
      <w:r w:rsidRPr="00652D04">
        <w:rPr>
          <w:lang w:val="fr-FR"/>
        </w:rPr>
        <w:t>ordre du jour unifié</w:t>
      </w:r>
    </w:p>
    <w:p w:rsidR="000006CC" w:rsidRPr="00652D04" w:rsidRDefault="00B37165" w:rsidP="00B37165">
      <w:pPr>
        <w:pStyle w:val="Heading2"/>
        <w:rPr>
          <w:rFonts w:eastAsia="MS Mincho"/>
          <w:szCs w:val="22"/>
          <w:lang w:val="fr-FR" w:eastAsia="ja-JP"/>
        </w:rPr>
      </w:pPr>
      <w:r w:rsidRPr="00652D04">
        <w:rPr>
          <w:rFonts w:eastAsia="MS Mincho"/>
          <w:szCs w:val="22"/>
          <w:lang w:val="fr-FR" w:eastAsia="ja-JP"/>
        </w:rPr>
        <w:t xml:space="preserve">Système de </w:t>
      </w:r>
      <w:r w:rsidR="00D67156" w:rsidRPr="00652D04">
        <w:rPr>
          <w:rFonts w:eastAsia="MS Mincho"/>
          <w:szCs w:val="22"/>
          <w:lang w:val="fr-FR" w:eastAsia="ja-JP"/>
        </w:rPr>
        <w:t>La Haye</w:t>
      </w:r>
    </w:p>
    <w:p w:rsidR="00D67156" w:rsidRPr="00652D04" w:rsidRDefault="00B37165" w:rsidP="00B37165">
      <w:pPr>
        <w:pStyle w:val="Heading3"/>
        <w:rPr>
          <w:lang w:val="fr-FR"/>
        </w:rPr>
      </w:pPr>
      <w:r w:rsidRPr="00652D04">
        <w:rPr>
          <w:lang w:val="fr-FR"/>
        </w:rPr>
        <w:t>Rapport final sur le programme de modernisation informatique (système d</w:t>
      </w:r>
      <w:r w:rsidR="00D67156" w:rsidRPr="00652D04">
        <w:rPr>
          <w:lang w:val="fr-FR"/>
        </w:rPr>
        <w:t>’</w:t>
      </w:r>
      <w:r w:rsidRPr="00652D04">
        <w:rPr>
          <w:lang w:val="fr-FR"/>
        </w:rPr>
        <w:t xml:space="preserve">enregistrement international de </w:t>
      </w:r>
      <w:r w:rsidR="00D67156" w:rsidRPr="00652D04">
        <w:rPr>
          <w:lang w:val="fr-FR"/>
        </w:rPr>
        <w:t>La Haye</w:t>
      </w:r>
      <w:r w:rsidRPr="00652D04">
        <w:rPr>
          <w:lang w:val="fr-FR"/>
        </w:rPr>
        <w:t>)</w:t>
      </w:r>
    </w:p>
    <w:p w:rsidR="000006CC" w:rsidRPr="00652D04" w:rsidRDefault="000006CC" w:rsidP="00B37165">
      <w:pPr>
        <w:rPr>
          <w:lang w:val="fr-FR"/>
        </w:rPr>
      </w:pPr>
    </w:p>
    <w:p w:rsidR="000006CC" w:rsidRPr="00652D04" w:rsidRDefault="00B37165" w:rsidP="00B37165">
      <w:pPr>
        <w:pStyle w:val="ONUMFS"/>
        <w:numPr>
          <w:ilvl w:val="0"/>
          <w:numId w:val="0"/>
        </w:numPr>
        <w:rPr>
          <w:lang w:val="fr-FR"/>
        </w:rPr>
      </w:pPr>
      <w:r w:rsidRPr="00652D04">
        <w:rPr>
          <w:lang w:val="fr-FR"/>
        </w:rPr>
        <w:t>L</w:t>
      </w:r>
      <w:r w:rsidR="00D67156" w:rsidRPr="00652D04">
        <w:rPr>
          <w:lang w:val="fr-FR"/>
        </w:rPr>
        <w:t>’</w:t>
      </w:r>
      <w:r w:rsidRPr="00652D04">
        <w:rPr>
          <w:lang w:val="fr-FR"/>
        </w:rPr>
        <w:t>assemblée a pris note du “Rapport final sur le programme de modernisation informatique (système d</w:t>
      </w:r>
      <w:r w:rsidR="00D67156" w:rsidRPr="00652D04">
        <w:rPr>
          <w:lang w:val="fr-FR"/>
        </w:rPr>
        <w:t>’</w:t>
      </w:r>
      <w:r w:rsidRPr="00652D04">
        <w:rPr>
          <w:lang w:val="fr-FR"/>
        </w:rPr>
        <w:t xml:space="preserve">enregistrement international de </w:t>
      </w:r>
      <w:r w:rsidR="00D67156" w:rsidRPr="00652D04">
        <w:rPr>
          <w:lang w:val="fr-FR"/>
        </w:rPr>
        <w:t>La Haye</w:t>
      </w:r>
      <w:r w:rsidRPr="00652D04">
        <w:rPr>
          <w:lang w:val="fr-FR"/>
        </w:rPr>
        <w:t>)” (document H/A/35/1).</w:t>
      </w:r>
    </w:p>
    <w:p w:rsidR="000006CC" w:rsidRPr="00652D04" w:rsidRDefault="00B37165" w:rsidP="00B37165">
      <w:pPr>
        <w:pStyle w:val="Heading2"/>
        <w:rPr>
          <w:lang w:val="fr-FR"/>
        </w:rPr>
      </w:pPr>
      <w:r w:rsidRPr="00652D04">
        <w:rPr>
          <w:lang w:val="fr-FR"/>
        </w:rPr>
        <w:t>Point</w:t>
      </w:r>
      <w:r w:rsidR="00B03A49" w:rsidRPr="00652D04">
        <w:rPr>
          <w:lang w:val="fr-FR"/>
        </w:rPr>
        <w:t> </w:t>
      </w:r>
      <w:r w:rsidRPr="00652D04">
        <w:rPr>
          <w:lang w:val="fr-FR"/>
        </w:rPr>
        <w:t>22 de l</w:t>
      </w:r>
      <w:r w:rsidR="00D67156" w:rsidRPr="00652D04">
        <w:rPr>
          <w:lang w:val="fr-FR"/>
        </w:rPr>
        <w:t>’</w:t>
      </w:r>
      <w:r w:rsidRPr="00652D04">
        <w:rPr>
          <w:lang w:val="fr-FR"/>
        </w:rPr>
        <w:t>ordre du jour unifié</w:t>
      </w:r>
    </w:p>
    <w:p w:rsidR="000006CC" w:rsidRPr="00652D04" w:rsidRDefault="00B37165" w:rsidP="00B37165">
      <w:pPr>
        <w:pStyle w:val="Heading2"/>
        <w:rPr>
          <w:lang w:val="fr-FR"/>
        </w:rPr>
      </w:pPr>
      <w:r w:rsidRPr="00652D04">
        <w:rPr>
          <w:lang w:val="fr-FR"/>
        </w:rPr>
        <w:t>Système de Lisbonne</w:t>
      </w:r>
    </w:p>
    <w:p w:rsidR="000006CC" w:rsidRPr="00652D04" w:rsidRDefault="00B37165" w:rsidP="00B37165">
      <w:pPr>
        <w:pStyle w:val="Heading3"/>
        <w:rPr>
          <w:lang w:val="fr-FR"/>
        </w:rPr>
      </w:pPr>
      <w:r w:rsidRPr="00652D04">
        <w:rPr>
          <w:lang w:val="fr-FR"/>
        </w:rPr>
        <w:t>Résultat de la Conférence diplomatique pour l</w:t>
      </w:r>
      <w:r w:rsidR="00D67156" w:rsidRPr="00652D04">
        <w:rPr>
          <w:lang w:val="fr-FR"/>
        </w:rPr>
        <w:t>’</w:t>
      </w:r>
      <w:r w:rsidRPr="00652D04">
        <w:rPr>
          <w:lang w:val="fr-FR"/>
        </w:rPr>
        <w:t>adoption d</w:t>
      </w:r>
      <w:r w:rsidR="00D67156" w:rsidRPr="00652D04">
        <w:rPr>
          <w:lang w:val="fr-FR"/>
        </w:rPr>
        <w:t>’</w:t>
      </w:r>
      <w:r w:rsidRPr="00652D04">
        <w:rPr>
          <w:lang w:val="fr-FR"/>
        </w:rPr>
        <w:t>un nouvel Acte de l</w:t>
      </w:r>
      <w:r w:rsidR="00D67156" w:rsidRPr="00652D04">
        <w:rPr>
          <w:lang w:val="fr-FR"/>
        </w:rPr>
        <w:t>’</w:t>
      </w:r>
      <w:r w:rsidRPr="00652D04">
        <w:rPr>
          <w:lang w:val="fr-FR"/>
        </w:rPr>
        <w:t>Arrangement de Lisbonne concernant la protection des appellations d</w:t>
      </w:r>
      <w:r w:rsidR="00D67156" w:rsidRPr="00652D04">
        <w:rPr>
          <w:lang w:val="fr-FR"/>
        </w:rPr>
        <w:t>’</w:t>
      </w:r>
      <w:r w:rsidRPr="00652D04">
        <w:rPr>
          <w:lang w:val="fr-FR"/>
        </w:rPr>
        <w:t>origine et leur enregistrement international</w:t>
      </w:r>
    </w:p>
    <w:p w:rsidR="000006CC" w:rsidRPr="00652D04" w:rsidRDefault="000006CC" w:rsidP="00B37165">
      <w:pPr>
        <w:rPr>
          <w:lang w:val="fr-FR"/>
        </w:rPr>
      </w:pPr>
    </w:p>
    <w:p w:rsidR="000006CC" w:rsidRPr="00652D04" w:rsidRDefault="00B37165" w:rsidP="00B37165">
      <w:pPr>
        <w:pStyle w:val="ONUMFS"/>
        <w:numPr>
          <w:ilvl w:val="0"/>
          <w:numId w:val="0"/>
        </w:numPr>
        <w:rPr>
          <w:lang w:val="fr-FR"/>
        </w:rPr>
      </w:pPr>
      <w:r w:rsidRPr="00652D04">
        <w:rPr>
          <w:lang w:val="fr-FR"/>
        </w:rPr>
        <w:t>L</w:t>
      </w:r>
      <w:r w:rsidR="00D67156" w:rsidRPr="00652D04">
        <w:rPr>
          <w:lang w:val="fr-FR"/>
        </w:rPr>
        <w:t>’</w:t>
      </w:r>
      <w:r w:rsidRPr="00652D04">
        <w:rPr>
          <w:lang w:val="fr-FR"/>
        </w:rPr>
        <w:t>assemblée</w:t>
      </w:r>
    </w:p>
    <w:p w:rsidR="000006CC" w:rsidRPr="00652D04" w:rsidRDefault="00B37165" w:rsidP="00B37165">
      <w:pPr>
        <w:pStyle w:val="ONUMFS"/>
        <w:numPr>
          <w:ilvl w:val="0"/>
          <w:numId w:val="0"/>
        </w:numPr>
        <w:rPr>
          <w:lang w:val="fr-FR"/>
        </w:rPr>
      </w:pPr>
      <w:r w:rsidRPr="00652D04">
        <w:rPr>
          <w:lang w:val="fr-FR"/>
        </w:rPr>
        <w:t>i)</w:t>
      </w:r>
      <w:r w:rsidRPr="00652D04">
        <w:rPr>
          <w:lang w:val="fr-FR"/>
        </w:rPr>
        <w:tab/>
        <w:t>a pris note du contenu du “Résultat de la Conférence diplomatique pour l</w:t>
      </w:r>
      <w:r w:rsidR="00D67156" w:rsidRPr="00652D04">
        <w:rPr>
          <w:lang w:val="fr-FR"/>
        </w:rPr>
        <w:t>’</w:t>
      </w:r>
      <w:r w:rsidRPr="00652D04">
        <w:rPr>
          <w:lang w:val="fr-FR"/>
        </w:rPr>
        <w:t>adoption d</w:t>
      </w:r>
      <w:r w:rsidR="00D67156" w:rsidRPr="00652D04">
        <w:rPr>
          <w:lang w:val="fr-FR"/>
        </w:rPr>
        <w:t>’</w:t>
      </w:r>
      <w:r w:rsidRPr="00652D04">
        <w:rPr>
          <w:lang w:val="fr-FR"/>
        </w:rPr>
        <w:t>un nouvel Acte de l</w:t>
      </w:r>
      <w:r w:rsidR="00D67156" w:rsidRPr="00652D04">
        <w:rPr>
          <w:lang w:val="fr-FR"/>
        </w:rPr>
        <w:t>’</w:t>
      </w:r>
      <w:r w:rsidRPr="00652D04">
        <w:rPr>
          <w:lang w:val="fr-FR"/>
        </w:rPr>
        <w:t>Arrangement de Lisbonne concernant la protection des appellations d</w:t>
      </w:r>
      <w:r w:rsidR="00D67156" w:rsidRPr="00652D04">
        <w:rPr>
          <w:lang w:val="fr-FR"/>
        </w:rPr>
        <w:t>’</w:t>
      </w:r>
      <w:r w:rsidRPr="00652D04">
        <w:rPr>
          <w:lang w:val="fr-FR"/>
        </w:rPr>
        <w:t>origine et leur enregistrement international” (document LI/A/32/1)</w:t>
      </w:r>
      <w:r w:rsidR="003F309F" w:rsidRPr="00652D04">
        <w:rPr>
          <w:lang w:val="fr-FR"/>
        </w:rPr>
        <w:t>,</w:t>
      </w:r>
    </w:p>
    <w:p w:rsidR="000006CC" w:rsidRPr="00652D04" w:rsidRDefault="00B37165" w:rsidP="00B37165">
      <w:pPr>
        <w:pStyle w:val="ONUMFS"/>
        <w:numPr>
          <w:ilvl w:val="0"/>
          <w:numId w:val="0"/>
        </w:numPr>
        <w:rPr>
          <w:lang w:val="fr-FR"/>
        </w:rPr>
      </w:pPr>
      <w:r w:rsidRPr="00652D04">
        <w:rPr>
          <w:lang w:val="fr-FR"/>
        </w:rPr>
        <w:lastRenderedPageBreak/>
        <w:t>ii)</w:t>
      </w:r>
      <w:r w:rsidRPr="00652D04">
        <w:rPr>
          <w:lang w:val="fr-FR"/>
        </w:rPr>
        <w:tab/>
        <w:t>a approuvé l</w:t>
      </w:r>
      <w:r w:rsidR="00D67156" w:rsidRPr="00652D04">
        <w:rPr>
          <w:lang w:val="fr-FR"/>
        </w:rPr>
        <w:t>’</w:t>
      </w:r>
      <w:r w:rsidRPr="00652D04">
        <w:rPr>
          <w:lang w:val="fr-FR"/>
        </w:rPr>
        <w:t>établissement d</w:t>
      </w:r>
      <w:r w:rsidR="00D67156" w:rsidRPr="00652D04">
        <w:rPr>
          <w:lang w:val="fr-FR"/>
        </w:rPr>
        <w:t>’</w:t>
      </w:r>
      <w:r w:rsidRPr="00652D04">
        <w:rPr>
          <w:lang w:val="fr-FR"/>
        </w:rPr>
        <w:t>un groupe de travail chargé d</w:t>
      </w:r>
      <w:r w:rsidR="00D67156" w:rsidRPr="00652D04">
        <w:rPr>
          <w:lang w:val="fr-FR"/>
        </w:rPr>
        <w:t>’</w:t>
      </w:r>
      <w:r w:rsidRPr="00652D04">
        <w:rPr>
          <w:lang w:val="fr-FR"/>
        </w:rPr>
        <w:t>élaborer un règlement d</w:t>
      </w:r>
      <w:r w:rsidR="00D67156" w:rsidRPr="00652D04">
        <w:rPr>
          <w:lang w:val="fr-FR"/>
        </w:rPr>
        <w:t>’</w:t>
      </w:r>
      <w:r w:rsidRPr="00652D04">
        <w:rPr>
          <w:lang w:val="fr-FR"/>
        </w:rPr>
        <w:t>exécution commun à l</w:t>
      </w:r>
      <w:r w:rsidR="00D67156" w:rsidRPr="00652D04">
        <w:rPr>
          <w:lang w:val="fr-FR"/>
        </w:rPr>
        <w:t>’</w:t>
      </w:r>
      <w:r w:rsidRPr="00652D04">
        <w:rPr>
          <w:lang w:val="fr-FR"/>
        </w:rPr>
        <w:t>Arrangement de Lisbonne et à l</w:t>
      </w:r>
      <w:r w:rsidR="00D67156" w:rsidRPr="00652D04">
        <w:rPr>
          <w:lang w:val="fr-FR"/>
        </w:rPr>
        <w:t>’</w:t>
      </w:r>
      <w:r w:rsidRPr="00652D04">
        <w:rPr>
          <w:lang w:val="fr-FR"/>
        </w:rPr>
        <w:t>Acte de Genève de l</w:t>
      </w:r>
      <w:r w:rsidR="00D67156" w:rsidRPr="00652D04">
        <w:rPr>
          <w:lang w:val="fr-FR"/>
        </w:rPr>
        <w:t>’</w:t>
      </w:r>
      <w:r w:rsidRPr="00652D04">
        <w:rPr>
          <w:lang w:val="fr-FR"/>
        </w:rPr>
        <w:t>Arrangement de Lisbonne, et</w:t>
      </w:r>
    </w:p>
    <w:p w:rsidR="000006CC" w:rsidRPr="00652D04" w:rsidRDefault="00B37165" w:rsidP="00B37165">
      <w:pPr>
        <w:pStyle w:val="ONUMFS"/>
        <w:numPr>
          <w:ilvl w:val="0"/>
          <w:numId w:val="0"/>
        </w:numPr>
        <w:rPr>
          <w:lang w:val="fr-FR"/>
        </w:rPr>
      </w:pPr>
      <w:r w:rsidRPr="00652D04">
        <w:rPr>
          <w:lang w:val="fr-FR"/>
        </w:rPr>
        <w:t>iii)</w:t>
      </w:r>
      <w:r w:rsidRPr="00652D04">
        <w:rPr>
          <w:lang w:val="fr-FR"/>
        </w:rPr>
        <w:tab/>
        <w:t>a indiqué l</w:t>
      </w:r>
      <w:r w:rsidR="00D67156" w:rsidRPr="00652D04">
        <w:rPr>
          <w:lang w:val="fr-FR"/>
        </w:rPr>
        <w:t>’</w:t>
      </w:r>
      <w:r w:rsidRPr="00652D04">
        <w:rPr>
          <w:lang w:val="fr-FR"/>
        </w:rPr>
        <w:t>arabe, le chinois et le russe comme langues dans lesquelles des textes officiels de l</w:t>
      </w:r>
      <w:r w:rsidR="00D67156" w:rsidRPr="00652D04">
        <w:rPr>
          <w:lang w:val="fr-FR"/>
        </w:rPr>
        <w:t>’</w:t>
      </w:r>
      <w:r w:rsidRPr="00652D04">
        <w:rPr>
          <w:lang w:val="fr-FR"/>
        </w:rPr>
        <w:t>Arrangement de Lisbonne et de son règlement d</w:t>
      </w:r>
      <w:r w:rsidR="00D67156" w:rsidRPr="00652D04">
        <w:rPr>
          <w:lang w:val="fr-FR"/>
        </w:rPr>
        <w:t>’</w:t>
      </w:r>
      <w:r w:rsidRPr="00652D04">
        <w:rPr>
          <w:lang w:val="fr-FR"/>
        </w:rPr>
        <w:t>exécution devaient être établis.</w:t>
      </w:r>
    </w:p>
    <w:p w:rsidR="000006CC" w:rsidRPr="00652D04" w:rsidRDefault="00B37165" w:rsidP="00890EAC">
      <w:pPr>
        <w:pStyle w:val="Heading3"/>
        <w:keepLines/>
        <w:rPr>
          <w:lang w:val="fr-FR" w:eastAsia="en-US"/>
        </w:rPr>
      </w:pPr>
      <w:r w:rsidRPr="00652D04">
        <w:rPr>
          <w:lang w:val="fr-FR" w:eastAsia="en-US"/>
        </w:rPr>
        <w:t>Proposition de mise à jour du barème des taxes figurant à la règle 23 du règlement d</w:t>
      </w:r>
      <w:r w:rsidR="00D67156" w:rsidRPr="00652D04">
        <w:rPr>
          <w:lang w:val="fr-FR" w:eastAsia="en-US"/>
        </w:rPr>
        <w:t>’</w:t>
      </w:r>
      <w:r w:rsidRPr="00652D04">
        <w:rPr>
          <w:lang w:val="fr-FR" w:eastAsia="en-US"/>
        </w:rPr>
        <w:t>exécution de l</w:t>
      </w:r>
      <w:r w:rsidR="00D67156" w:rsidRPr="00652D04">
        <w:rPr>
          <w:lang w:val="fr-FR" w:eastAsia="en-US"/>
        </w:rPr>
        <w:t>’</w:t>
      </w:r>
      <w:r w:rsidRPr="00652D04">
        <w:rPr>
          <w:lang w:val="fr-FR" w:eastAsia="en-US"/>
        </w:rPr>
        <w:t>Arrangement de Lisbonne</w:t>
      </w:r>
    </w:p>
    <w:p w:rsidR="000006CC" w:rsidRPr="00652D04" w:rsidRDefault="000006CC" w:rsidP="00890EAC">
      <w:pPr>
        <w:keepNext/>
        <w:keepLines/>
        <w:rPr>
          <w:lang w:val="fr-FR" w:eastAsia="en-US"/>
        </w:rPr>
      </w:pPr>
    </w:p>
    <w:p w:rsidR="000006CC" w:rsidRPr="00652D04" w:rsidRDefault="00B37165" w:rsidP="00890EAC">
      <w:pPr>
        <w:pStyle w:val="ONUMFS"/>
        <w:keepNext/>
        <w:keepLines/>
        <w:numPr>
          <w:ilvl w:val="0"/>
          <w:numId w:val="0"/>
        </w:numPr>
        <w:rPr>
          <w:lang w:val="fr-FR"/>
        </w:rPr>
      </w:pPr>
      <w:r w:rsidRPr="00652D04">
        <w:rPr>
          <w:lang w:val="fr-FR" w:eastAsia="en-US"/>
        </w:rPr>
        <w:t>L</w:t>
      </w:r>
      <w:r w:rsidR="00D67156" w:rsidRPr="00652D04">
        <w:rPr>
          <w:lang w:val="fr-FR" w:eastAsia="en-US"/>
        </w:rPr>
        <w:t>’</w:t>
      </w:r>
      <w:r w:rsidRPr="00652D04">
        <w:rPr>
          <w:lang w:val="fr-FR" w:eastAsia="en-US"/>
        </w:rPr>
        <w:t>assemblée</w:t>
      </w:r>
    </w:p>
    <w:p w:rsidR="000006CC" w:rsidRPr="00652D04" w:rsidRDefault="00B37165" w:rsidP="00890EAC">
      <w:pPr>
        <w:pStyle w:val="ONUMFS"/>
        <w:keepNext/>
        <w:keepLines/>
        <w:numPr>
          <w:ilvl w:val="0"/>
          <w:numId w:val="0"/>
        </w:numPr>
        <w:rPr>
          <w:lang w:val="fr-FR"/>
        </w:rPr>
      </w:pPr>
      <w:r w:rsidRPr="00652D04">
        <w:rPr>
          <w:lang w:val="fr-FR"/>
        </w:rPr>
        <w:t>i)</w:t>
      </w:r>
      <w:r w:rsidRPr="00652D04">
        <w:rPr>
          <w:lang w:val="fr-FR"/>
        </w:rPr>
        <w:tab/>
        <w:t>a pris note du contenu du document LI/A/32/2,</w:t>
      </w:r>
    </w:p>
    <w:p w:rsidR="000006CC" w:rsidRPr="00652D04" w:rsidRDefault="00B37165" w:rsidP="00B37165">
      <w:pPr>
        <w:pStyle w:val="ONUMFS"/>
        <w:numPr>
          <w:ilvl w:val="0"/>
          <w:numId w:val="0"/>
        </w:numPr>
        <w:rPr>
          <w:lang w:val="fr-FR"/>
        </w:rPr>
      </w:pPr>
      <w:r w:rsidRPr="00652D04">
        <w:rPr>
          <w:lang w:val="fr-FR"/>
        </w:rPr>
        <w:t>ii)</w:t>
      </w:r>
      <w:r w:rsidRPr="00652D04">
        <w:rPr>
          <w:lang w:val="fr-FR"/>
        </w:rPr>
        <w:tab/>
        <w:t>a décidé de modifier le montant des taxes visées à la règle 23 du règlement d</w:t>
      </w:r>
      <w:r w:rsidR="00D67156" w:rsidRPr="00652D04">
        <w:rPr>
          <w:lang w:val="fr-FR"/>
        </w:rPr>
        <w:t>’</w:t>
      </w:r>
      <w:r w:rsidRPr="00652D04">
        <w:rPr>
          <w:lang w:val="fr-FR"/>
        </w:rPr>
        <w:t>exécution de l</w:t>
      </w:r>
      <w:r w:rsidR="00D67156" w:rsidRPr="00652D04">
        <w:rPr>
          <w:lang w:val="fr-FR"/>
        </w:rPr>
        <w:t>’</w:t>
      </w:r>
      <w:r w:rsidRPr="00652D04">
        <w:rPr>
          <w:lang w:val="fr-FR"/>
        </w:rPr>
        <w:t>Arrangement de Lisbonne, avec effet au 1</w:t>
      </w:r>
      <w:r w:rsidRPr="00652D04">
        <w:rPr>
          <w:vertAlign w:val="superscript"/>
          <w:lang w:val="fr-FR"/>
        </w:rPr>
        <w:t>er</w:t>
      </w:r>
      <w:r w:rsidRPr="00652D04">
        <w:rPr>
          <w:lang w:val="fr-FR"/>
        </w:rPr>
        <w:t> janvier 2016, de la manière suivante : i) une taxe d</w:t>
      </w:r>
      <w:r w:rsidR="00D67156" w:rsidRPr="00652D04">
        <w:rPr>
          <w:lang w:val="fr-FR"/>
        </w:rPr>
        <w:t>’</w:t>
      </w:r>
      <w:r w:rsidRPr="00652D04">
        <w:rPr>
          <w:lang w:val="fr-FR"/>
        </w:rPr>
        <w:t>enregistrement international de 1000 francs suisses;  ii) une taxe de 500 francs suisses pour la modification d</w:t>
      </w:r>
      <w:r w:rsidR="00D67156" w:rsidRPr="00652D04">
        <w:rPr>
          <w:lang w:val="fr-FR"/>
        </w:rPr>
        <w:t>’</w:t>
      </w:r>
      <w:r w:rsidRPr="00652D04">
        <w:rPr>
          <w:lang w:val="fr-FR"/>
        </w:rPr>
        <w:t>un enregistrement international;  iii) une taxe de 150 francs suisses pour la fourniture d</w:t>
      </w:r>
      <w:r w:rsidR="00D67156" w:rsidRPr="00652D04">
        <w:rPr>
          <w:lang w:val="fr-FR"/>
        </w:rPr>
        <w:t>’</w:t>
      </w:r>
      <w:r w:rsidRPr="00652D04">
        <w:rPr>
          <w:lang w:val="fr-FR"/>
        </w:rPr>
        <w:t>un extrait du registre international;  et iv) une taxe de 100 francs suisses pour la fourniture d</w:t>
      </w:r>
      <w:r w:rsidR="00D67156" w:rsidRPr="00652D04">
        <w:rPr>
          <w:lang w:val="fr-FR"/>
        </w:rPr>
        <w:t>’</w:t>
      </w:r>
      <w:r w:rsidRPr="00652D04">
        <w:rPr>
          <w:lang w:val="fr-FR"/>
        </w:rPr>
        <w:t>une attestation ou de tout autre renseignement donné par écrit sur le contenu du registre international,</w:t>
      </w:r>
    </w:p>
    <w:p w:rsidR="000006CC" w:rsidRPr="00652D04" w:rsidRDefault="00B37165" w:rsidP="00B37165">
      <w:pPr>
        <w:pStyle w:val="ONUMFS"/>
        <w:numPr>
          <w:ilvl w:val="0"/>
          <w:numId w:val="0"/>
        </w:numPr>
        <w:rPr>
          <w:lang w:val="fr-FR"/>
        </w:rPr>
      </w:pPr>
      <w:r w:rsidRPr="00652D04">
        <w:rPr>
          <w:lang w:val="fr-FR"/>
        </w:rPr>
        <w:t>iii)</w:t>
      </w:r>
      <w:r w:rsidRPr="00652D04">
        <w:rPr>
          <w:lang w:val="fr-FR"/>
        </w:rPr>
        <w:tab/>
        <w:t>a décidé qu</w:t>
      </w:r>
      <w:r w:rsidR="00D67156" w:rsidRPr="00652D04">
        <w:rPr>
          <w:lang w:val="fr-FR"/>
        </w:rPr>
        <w:t>’</w:t>
      </w:r>
      <w:r w:rsidRPr="00652D04">
        <w:rPr>
          <w:lang w:val="fr-FR"/>
        </w:rPr>
        <w:t>elle continuerait de réviser les taxes périodiquement.</w:t>
      </w:r>
    </w:p>
    <w:p w:rsidR="000006CC" w:rsidRPr="00652D04" w:rsidRDefault="00B37165" w:rsidP="00B37165">
      <w:pPr>
        <w:pStyle w:val="Heading3"/>
        <w:rPr>
          <w:lang w:val="fr-FR" w:eastAsia="en-US"/>
        </w:rPr>
      </w:pPr>
      <w:r w:rsidRPr="00652D04">
        <w:rPr>
          <w:lang w:val="fr-FR" w:eastAsia="en-US"/>
        </w:rPr>
        <w:t>Options pour assurer la viabilité financière de l</w:t>
      </w:r>
      <w:r w:rsidR="00D67156" w:rsidRPr="00652D04">
        <w:rPr>
          <w:lang w:val="fr-FR" w:eastAsia="en-US"/>
        </w:rPr>
        <w:t>’</w:t>
      </w:r>
      <w:r w:rsidRPr="00652D04">
        <w:rPr>
          <w:lang w:val="fr-FR" w:eastAsia="en-US"/>
        </w:rPr>
        <w:t>Union de Lisbonne et proposition d</w:t>
      </w:r>
      <w:r w:rsidR="00D67156" w:rsidRPr="00652D04">
        <w:rPr>
          <w:lang w:val="fr-FR" w:eastAsia="en-US"/>
        </w:rPr>
        <w:t>’</w:t>
      </w:r>
      <w:r w:rsidRPr="00652D04">
        <w:rPr>
          <w:lang w:val="fr-FR" w:eastAsia="en-US"/>
        </w:rPr>
        <w:t>établissement d</w:t>
      </w:r>
      <w:r w:rsidR="00D67156" w:rsidRPr="00652D04">
        <w:rPr>
          <w:lang w:val="fr-FR" w:eastAsia="en-US"/>
        </w:rPr>
        <w:t>’</w:t>
      </w:r>
      <w:r w:rsidRPr="00652D04">
        <w:rPr>
          <w:lang w:val="fr-FR" w:eastAsia="en-US"/>
        </w:rPr>
        <w:t>un fonds de roulement pour l</w:t>
      </w:r>
      <w:r w:rsidR="00D67156" w:rsidRPr="00652D04">
        <w:rPr>
          <w:lang w:val="fr-FR" w:eastAsia="en-US"/>
        </w:rPr>
        <w:t>’</w:t>
      </w:r>
      <w:r w:rsidRPr="00652D04">
        <w:rPr>
          <w:lang w:val="fr-FR" w:eastAsia="en-US"/>
        </w:rPr>
        <w:t>Union de Lisbonne</w:t>
      </w:r>
    </w:p>
    <w:p w:rsidR="000006CC" w:rsidRPr="00652D04" w:rsidRDefault="000006CC">
      <w:pPr>
        <w:rPr>
          <w:lang w:val="fr-FR"/>
        </w:rPr>
      </w:pPr>
    </w:p>
    <w:p w:rsidR="000006CC" w:rsidRPr="00652D04" w:rsidRDefault="007E0555" w:rsidP="00B37165">
      <w:pPr>
        <w:pStyle w:val="ONUMFS"/>
        <w:numPr>
          <w:ilvl w:val="0"/>
          <w:numId w:val="0"/>
        </w:numPr>
        <w:rPr>
          <w:lang w:val="fr-FR"/>
        </w:rPr>
      </w:pPr>
      <w:r w:rsidRPr="00652D04">
        <w:rPr>
          <w:lang w:val="fr-FR"/>
        </w:rPr>
        <w:t>L</w:t>
      </w:r>
      <w:r w:rsidR="00D67156" w:rsidRPr="00652D04">
        <w:rPr>
          <w:lang w:val="fr-FR"/>
        </w:rPr>
        <w:t>’</w:t>
      </w:r>
      <w:r w:rsidRPr="00652D04">
        <w:rPr>
          <w:lang w:val="fr-FR"/>
        </w:rPr>
        <w:t>Assemblée de l</w:t>
      </w:r>
      <w:r w:rsidR="00D67156" w:rsidRPr="00652D04">
        <w:rPr>
          <w:lang w:val="fr-FR"/>
        </w:rPr>
        <w:t>’</w:t>
      </w:r>
      <w:r w:rsidRPr="00652D04">
        <w:rPr>
          <w:lang w:val="fr-FR"/>
        </w:rPr>
        <w:t>Union de Lisbonne, consciente d</w:t>
      </w:r>
      <w:r w:rsidR="008069BD" w:rsidRPr="00652D04">
        <w:rPr>
          <w:lang w:val="fr-FR"/>
        </w:rPr>
        <w:t>u fait que l</w:t>
      </w:r>
      <w:r w:rsidR="00D67156" w:rsidRPr="00652D04">
        <w:rPr>
          <w:lang w:val="fr-FR"/>
        </w:rPr>
        <w:t>’</w:t>
      </w:r>
      <w:r w:rsidR="008069BD" w:rsidRPr="00652D04">
        <w:rPr>
          <w:lang w:val="fr-FR"/>
        </w:rPr>
        <w:t>Union de Lisbonne présente</w:t>
      </w:r>
      <w:r w:rsidRPr="00652D04">
        <w:rPr>
          <w:lang w:val="fr-FR"/>
        </w:rPr>
        <w:t xml:space="preserve"> un déficit financier et que ses recettes sont insuffisantes pour couvrir ses dépenses, décide que</w:t>
      </w:r>
    </w:p>
    <w:p w:rsidR="000006CC" w:rsidRPr="00652D04" w:rsidRDefault="007E0555" w:rsidP="00B37165">
      <w:pPr>
        <w:pStyle w:val="ONUMFS"/>
        <w:numPr>
          <w:ilvl w:val="0"/>
          <w:numId w:val="0"/>
        </w:numPr>
        <w:rPr>
          <w:lang w:val="fr-FR"/>
        </w:rPr>
      </w:pPr>
      <w:r w:rsidRPr="00652D04">
        <w:rPr>
          <w:lang w:val="fr-FR"/>
        </w:rPr>
        <w:t>i)</w:t>
      </w:r>
      <w:r w:rsidRPr="00652D04">
        <w:rPr>
          <w:lang w:val="fr-FR"/>
        </w:rPr>
        <w:tab/>
        <w:t>conformément à l</w:t>
      </w:r>
      <w:r w:rsidR="00D67156" w:rsidRPr="00652D04">
        <w:rPr>
          <w:lang w:val="fr-FR"/>
        </w:rPr>
        <w:t>’</w:t>
      </w:r>
      <w:r w:rsidRPr="00652D04">
        <w:rPr>
          <w:lang w:val="fr-FR"/>
        </w:rPr>
        <w:t>article</w:t>
      </w:r>
      <w:r w:rsidR="00B03A49" w:rsidRPr="00652D04">
        <w:rPr>
          <w:lang w:val="fr-FR"/>
        </w:rPr>
        <w:t> </w:t>
      </w:r>
      <w:r w:rsidRPr="00652D04">
        <w:rPr>
          <w:lang w:val="fr-FR"/>
        </w:rPr>
        <w:t>11 de l</w:t>
      </w:r>
      <w:r w:rsidR="00D67156" w:rsidRPr="00652D04">
        <w:rPr>
          <w:lang w:val="fr-FR"/>
        </w:rPr>
        <w:t>’</w:t>
      </w:r>
      <w:r w:rsidRPr="00652D04">
        <w:rPr>
          <w:lang w:val="fr-FR"/>
        </w:rPr>
        <w:t>Arrangement de Lisbonne concernant la protection des appellations d</w:t>
      </w:r>
      <w:r w:rsidR="00D67156" w:rsidRPr="00652D04">
        <w:rPr>
          <w:lang w:val="fr-FR"/>
        </w:rPr>
        <w:t>’</w:t>
      </w:r>
      <w:r w:rsidRPr="00652D04">
        <w:rPr>
          <w:lang w:val="fr-FR"/>
        </w:rPr>
        <w:t>origine et leur enregistrement international (ci</w:t>
      </w:r>
      <w:r w:rsidR="00E70920" w:rsidRPr="00652D04">
        <w:rPr>
          <w:lang w:val="fr-FR"/>
        </w:rPr>
        <w:noBreakHyphen/>
      </w:r>
      <w:r w:rsidRPr="00652D04">
        <w:rPr>
          <w:lang w:val="fr-FR"/>
        </w:rPr>
        <w:t>après dénommé</w:t>
      </w:r>
      <w:r w:rsidR="001C1DFD" w:rsidRPr="00652D04">
        <w:rPr>
          <w:lang w:val="fr-FR"/>
        </w:rPr>
        <w:t xml:space="preserve"> </w:t>
      </w:r>
      <w:r w:rsidR="00B03A49" w:rsidRPr="00652D04">
        <w:rPr>
          <w:lang w:val="fr-FR"/>
        </w:rPr>
        <w:t>“</w:t>
      </w:r>
      <w:r w:rsidRPr="00652D04">
        <w:rPr>
          <w:lang w:val="fr-FR"/>
        </w:rPr>
        <w:t>Arrangement de Lisbonne</w:t>
      </w:r>
      <w:r w:rsidR="00B03A49" w:rsidRPr="00652D04">
        <w:rPr>
          <w:lang w:val="fr-FR"/>
        </w:rPr>
        <w:t>”</w:t>
      </w:r>
      <w:r w:rsidR="001C1DFD" w:rsidRPr="00652D04">
        <w:rPr>
          <w:lang w:val="fr-FR"/>
        </w:rPr>
        <w:t>)</w:t>
      </w:r>
      <w:r w:rsidRPr="00652D04">
        <w:rPr>
          <w:lang w:val="fr-FR"/>
        </w:rPr>
        <w:t>, l</w:t>
      </w:r>
      <w:r w:rsidR="00D67156" w:rsidRPr="00652D04">
        <w:rPr>
          <w:lang w:val="fr-FR"/>
        </w:rPr>
        <w:t>’</w:t>
      </w:r>
      <w:r w:rsidRPr="00652D04">
        <w:rPr>
          <w:lang w:val="fr-FR"/>
        </w:rPr>
        <w:t>Union de Lisbonne, en tant qu</w:t>
      </w:r>
      <w:r w:rsidR="00D67156" w:rsidRPr="00652D04">
        <w:rPr>
          <w:lang w:val="fr-FR"/>
        </w:rPr>
        <w:t>’</w:t>
      </w:r>
      <w:r w:rsidRPr="00652D04">
        <w:rPr>
          <w:lang w:val="fr-FR"/>
        </w:rPr>
        <w:t>union financée par des taxes, doit adopter des mesures avant les assemblées de</w:t>
      </w:r>
      <w:r w:rsidR="00B03A49" w:rsidRPr="00652D04">
        <w:rPr>
          <w:lang w:val="fr-FR"/>
        </w:rPr>
        <w:t> </w:t>
      </w:r>
      <w:r w:rsidRPr="00652D04">
        <w:rPr>
          <w:lang w:val="fr-FR"/>
        </w:rPr>
        <w:t>2016 pour éliminer son déficit prévu pour l</w:t>
      </w:r>
      <w:r w:rsidR="00D67156" w:rsidRPr="00652D04">
        <w:rPr>
          <w:lang w:val="fr-FR"/>
        </w:rPr>
        <w:t>’</w:t>
      </w:r>
      <w:r w:rsidRPr="00652D04">
        <w:rPr>
          <w:lang w:val="fr-FR"/>
        </w:rPr>
        <w:t>exercice biennal</w:t>
      </w:r>
      <w:r w:rsidR="008D7082" w:rsidRPr="00652D04">
        <w:rPr>
          <w:lang w:val="fr-FR"/>
        </w:rPr>
        <w:t xml:space="preserve"> </w:t>
      </w:r>
      <w:r w:rsidRPr="00652D04">
        <w:rPr>
          <w:lang w:val="fr-FR"/>
        </w:rPr>
        <w:t xml:space="preserve">qui </w:t>
      </w:r>
      <w:r w:rsidR="008D7082" w:rsidRPr="00652D04">
        <w:rPr>
          <w:lang w:val="fr-FR"/>
        </w:rPr>
        <w:t>figure</w:t>
      </w:r>
      <w:r w:rsidRPr="00652D04">
        <w:rPr>
          <w:lang w:val="fr-FR"/>
        </w:rPr>
        <w:t xml:space="preserve"> dans le programme et budget de l</w:t>
      </w:r>
      <w:r w:rsidR="00D67156" w:rsidRPr="00652D04">
        <w:rPr>
          <w:lang w:val="fr-FR"/>
        </w:rPr>
        <w:t>’</w:t>
      </w:r>
      <w:r w:rsidRPr="00652D04">
        <w:rPr>
          <w:lang w:val="fr-FR"/>
        </w:rPr>
        <w:t>OMPI pour l</w:t>
      </w:r>
      <w:r w:rsidR="00D67156" w:rsidRPr="00652D04">
        <w:rPr>
          <w:lang w:val="fr-FR"/>
        </w:rPr>
        <w:t>’</w:t>
      </w:r>
      <w:r w:rsidRPr="00652D04">
        <w:rPr>
          <w:lang w:val="fr-FR"/>
        </w:rPr>
        <w:t>exercice biennal</w:t>
      </w:r>
      <w:r w:rsidR="00B03A49" w:rsidRPr="00652D04">
        <w:rPr>
          <w:lang w:val="fr-FR"/>
        </w:rPr>
        <w:t> </w:t>
      </w:r>
      <w:r w:rsidRPr="00652D04">
        <w:rPr>
          <w:lang w:val="fr-FR"/>
        </w:rPr>
        <w:t>2016</w:t>
      </w:r>
      <w:r w:rsidR="00E70920" w:rsidRPr="00652D04">
        <w:rPr>
          <w:lang w:val="fr-FR"/>
        </w:rPr>
        <w:noBreakHyphen/>
      </w:r>
      <w:r w:rsidRPr="00652D04">
        <w:rPr>
          <w:lang w:val="fr-FR"/>
        </w:rPr>
        <w:t>2017</w:t>
      </w:r>
      <w:r w:rsidR="008D7082" w:rsidRPr="00652D04">
        <w:rPr>
          <w:lang w:val="fr-FR"/>
        </w:rPr>
        <w:t xml:space="preserve"> (1,</w:t>
      </w:r>
      <w:r w:rsidR="001C1DFD" w:rsidRPr="00652D04">
        <w:rPr>
          <w:lang w:val="fr-FR"/>
        </w:rPr>
        <w:t>523</w:t>
      </w:r>
      <w:r w:rsidR="00B03A49" w:rsidRPr="00652D04">
        <w:rPr>
          <w:lang w:val="fr-FR"/>
        </w:rPr>
        <w:t> </w:t>
      </w:r>
      <w:r w:rsidR="001C1DFD" w:rsidRPr="00652D04">
        <w:rPr>
          <w:lang w:val="fr-FR"/>
        </w:rPr>
        <w:t xml:space="preserve">million </w:t>
      </w:r>
      <w:r w:rsidR="008D7082" w:rsidRPr="00652D04">
        <w:rPr>
          <w:lang w:val="fr-FR"/>
        </w:rPr>
        <w:t>de francs suisses)</w:t>
      </w:r>
      <w:r w:rsidR="00A42716" w:rsidRPr="00652D04">
        <w:rPr>
          <w:lang w:val="fr-FR"/>
        </w:rPr>
        <w:t>;</w:t>
      </w:r>
    </w:p>
    <w:p w:rsidR="000006CC" w:rsidRPr="00652D04" w:rsidRDefault="001C1DFD" w:rsidP="00B37165">
      <w:pPr>
        <w:pStyle w:val="ONUMFS"/>
        <w:numPr>
          <w:ilvl w:val="0"/>
          <w:numId w:val="0"/>
        </w:numPr>
        <w:rPr>
          <w:lang w:val="fr-FR"/>
        </w:rPr>
      </w:pPr>
      <w:r w:rsidRPr="00652D04">
        <w:rPr>
          <w:lang w:val="fr-FR"/>
        </w:rPr>
        <w:t>ii)</w:t>
      </w:r>
      <w:r w:rsidRPr="00652D04">
        <w:rPr>
          <w:lang w:val="fr-FR"/>
        </w:rPr>
        <w:tab/>
      </w:r>
      <w:r w:rsidR="00A42716" w:rsidRPr="00652D04">
        <w:rPr>
          <w:lang w:val="fr-FR"/>
        </w:rPr>
        <w:t>l</w:t>
      </w:r>
      <w:r w:rsidR="00D67156" w:rsidRPr="00652D04">
        <w:rPr>
          <w:lang w:val="fr-FR"/>
        </w:rPr>
        <w:t>’</w:t>
      </w:r>
      <w:r w:rsidR="00A42716" w:rsidRPr="00652D04">
        <w:rPr>
          <w:lang w:val="fr-FR"/>
        </w:rPr>
        <w:t>Union de Lisbonne se verra accorder un prêt par les unions financées par des contributions dans le cas où les mesures adoptées ne seraient pas suffisantes pour couvrir le déficit prévu pour l</w:t>
      </w:r>
      <w:r w:rsidR="00D67156" w:rsidRPr="00652D04">
        <w:rPr>
          <w:lang w:val="fr-FR"/>
        </w:rPr>
        <w:t>’</w:t>
      </w:r>
      <w:r w:rsidR="00A42716" w:rsidRPr="00652D04">
        <w:rPr>
          <w:lang w:val="fr-FR"/>
        </w:rPr>
        <w:t>exercice biennal indiqué à l</w:t>
      </w:r>
      <w:r w:rsidR="00D67156" w:rsidRPr="00652D04">
        <w:rPr>
          <w:lang w:val="fr-FR"/>
        </w:rPr>
        <w:t>’</w:t>
      </w:r>
      <w:r w:rsidR="00A42716" w:rsidRPr="00652D04">
        <w:rPr>
          <w:lang w:val="fr-FR"/>
        </w:rPr>
        <w:t>alinéa</w:t>
      </w:r>
      <w:r w:rsidR="00B03A49" w:rsidRPr="00652D04">
        <w:rPr>
          <w:lang w:val="fr-FR"/>
        </w:rPr>
        <w:t> </w:t>
      </w:r>
      <w:r w:rsidR="00A42716" w:rsidRPr="00652D04">
        <w:rPr>
          <w:lang w:val="fr-FR"/>
        </w:rPr>
        <w:t>i) à l</w:t>
      </w:r>
      <w:r w:rsidR="00D67156" w:rsidRPr="00652D04">
        <w:rPr>
          <w:lang w:val="fr-FR"/>
        </w:rPr>
        <w:t>’</w:t>
      </w:r>
      <w:r w:rsidR="00A42716" w:rsidRPr="00652D04">
        <w:rPr>
          <w:lang w:val="fr-FR"/>
        </w:rPr>
        <w:t>assemblée de l</w:t>
      </w:r>
      <w:r w:rsidR="00D67156" w:rsidRPr="00652D04">
        <w:rPr>
          <w:lang w:val="fr-FR"/>
        </w:rPr>
        <w:t>’</w:t>
      </w:r>
      <w:r w:rsidR="00A42716" w:rsidRPr="00652D04">
        <w:rPr>
          <w:lang w:val="fr-FR"/>
        </w:rPr>
        <w:t>Union de Lisbonne en</w:t>
      </w:r>
      <w:r w:rsidR="00B03A49" w:rsidRPr="00652D04">
        <w:rPr>
          <w:lang w:val="fr-FR"/>
        </w:rPr>
        <w:t> </w:t>
      </w:r>
      <w:r w:rsidR="00A42716" w:rsidRPr="00652D04">
        <w:rPr>
          <w:lang w:val="fr-FR"/>
        </w:rPr>
        <w:t>2016</w:t>
      </w:r>
      <w:r w:rsidRPr="00652D04">
        <w:rPr>
          <w:lang w:val="fr-FR"/>
        </w:rPr>
        <w:t xml:space="preserve">.  </w:t>
      </w:r>
      <w:r w:rsidR="00B37165" w:rsidRPr="00652D04">
        <w:rPr>
          <w:lang w:val="fr-FR"/>
        </w:rPr>
        <w:t>Ce prêt sera consenti sans intérêt et étant entendu qu</w:t>
      </w:r>
      <w:r w:rsidR="00D67156" w:rsidRPr="00652D04">
        <w:rPr>
          <w:lang w:val="fr-FR"/>
        </w:rPr>
        <w:t>’</w:t>
      </w:r>
      <w:r w:rsidR="00B37165" w:rsidRPr="00652D04">
        <w:rPr>
          <w:lang w:val="fr-FR"/>
        </w:rPr>
        <w:t>il sera remboursé lorsque les réserves de l</w:t>
      </w:r>
      <w:r w:rsidR="00D67156" w:rsidRPr="00652D04">
        <w:rPr>
          <w:lang w:val="fr-FR"/>
        </w:rPr>
        <w:t>’</w:t>
      </w:r>
      <w:r w:rsidR="00B37165" w:rsidRPr="00652D04">
        <w:rPr>
          <w:lang w:val="fr-FR"/>
        </w:rPr>
        <w:t>U</w:t>
      </w:r>
      <w:r w:rsidR="00C51022" w:rsidRPr="00652D04">
        <w:rPr>
          <w:lang w:val="fr-FR"/>
        </w:rPr>
        <w:t>nion de Lisbonne le permettront;</w:t>
      </w:r>
    </w:p>
    <w:p w:rsidR="000006CC" w:rsidRPr="00652D04" w:rsidRDefault="001C1DFD" w:rsidP="00B37165">
      <w:pPr>
        <w:pStyle w:val="ONUMFS"/>
        <w:numPr>
          <w:ilvl w:val="0"/>
          <w:numId w:val="0"/>
        </w:numPr>
        <w:rPr>
          <w:lang w:val="fr-FR"/>
        </w:rPr>
      </w:pPr>
      <w:r w:rsidRPr="00652D04">
        <w:rPr>
          <w:lang w:val="fr-FR"/>
        </w:rPr>
        <w:t>iii)</w:t>
      </w:r>
      <w:r w:rsidRPr="00652D04">
        <w:rPr>
          <w:lang w:val="fr-FR"/>
        </w:rPr>
        <w:tab/>
      </w:r>
      <w:r w:rsidR="00C51022" w:rsidRPr="00652D04">
        <w:rPr>
          <w:lang w:val="fr-FR"/>
        </w:rPr>
        <w:t>l</w:t>
      </w:r>
      <w:r w:rsidR="00D67156" w:rsidRPr="00652D04">
        <w:rPr>
          <w:lang w:val="fr-FR"/>
        </w:rPr>
        <w:t>’</w:t>
      </w:r>
      <w:r w:rsidR="00C51022" w:rsidRPr="00652D04">
        <w:rPr>
          <w:lang w:val="fr-FR"/>
        </w:rPr>
        <w:t>Union de Lisbonne tirera parti des réunions du Groupe de travail sur le développement du système de Lisbonne pour examiner la question de la viabilité financière de l</w:t>
      </w:r>
      <w:r w:rsidR="00D67156" w:rsidRPr="00652D04">
        <w:rPr>
          <w:lang w:val="fr-FR"/>
        </w:rPr>
        <w:t>’</w:t>
      </w:r>
      <w:r w:rsidR="00C51022" w:rsidRPr="00652D04">
        <w:rPr>
          <w:lang w:val="fr-FR"/>
        </w:rPr>
        <w:t xml:space="preserve">Union de Lisbonne, </w:t>
      </w:r>
      <w:r w:rsidR="00D67156" w:rsidRPr="00652D04">
        <w:rPr>
          <w:lang w:val="fr-FR"/>
        </w:rPr>
        <w:t>y compris</w:t>
      </w:r>
      <w:r w:rsidR="00C51022" w:rsidRPr="00652D04">
        <w:rPr>
          <w:lang w:val="fr-FR"/>
        </w:rPr>
        <w:t xml:space="preserve"> les options figurant dans le </w:t>
      </w:r>
      <w:r w:rsidRPr="00652D04">
        <w:rPr>
          <w:lang w:val="fr-FR"/>
        </w:rPr>
        <w:t xml:space="preserve">document LI/A/32/3 </w:t>
      </w:r>
      <w:r w:rsidR="00C51022" w:rsidRPr="00652D04">
        <w:rPr>
          <w:lang w:val="fr-FR"/>
        </w:rPr>
        <w:t>et toute autre solution concrète</w:t>
      </w:r>
      <w:r w:rsidRPr="00652D04">
        <w:rPr>
          <w:lang w:val="fr-FR"/>
        </w:rPr>
        <w:t xml:space="preserve">, </w:t>
      </w:r>
      <w:r w:rsidR="00C51022" w:rsidRPr="00652D04">
        <w:rPr>
          <w:lang w:val="fr-FR"/>
        </w:rPr>
        <w:t>et pour présenter une proposition à la prochaine session de l</w:t>
      </w:r>
      <w:r w:rsidR="00D67156" w:rsidRPr="00652D04">
        <w:rPr>
          <w:lang w:val="fr-FR"/>
        </w:rPr>
        <w:t>’</w:t>
      </w:r>
      <w:r w:rsidR="00C51022" w:rsidRPr="00652D04">
        <w:rPr>
          <w:lang w:val="fr-FR"/>
        </w:rPr>
        <w:t>assemblée en</w:t>
      </w:r>
      <w:r w:rsidR="00B03A49" w:rsidRPr="00652D04">
        <w:rPr>
          <w:lang w:val="fr-FR"/>
        </w:rPr>
        <w:t> </w:t>
      </w:r>
      <w:r w:rsidR="00C51022" w:rsidRPr="00652D04">
        <w:rPr>
          <w:lang w:val="fr-FR"/>
        </w:rPr>
        <w:t>2016</w:t>
      </w:r>
      <w:r w:rsidRPr="00652D04">
        <w:rPr>
          <w:lang w:val="fr-FR"/>
        </w:rPr>
        <w:t>.</w:t>
      </w:r>
    </w:p>
    <w:p w:rsidR="000006CC" w:rsidRPr="00652D04" w:rsidRDefault="00B37165" w:rsidP="00B37165">
      <w:pPr>
        <w:pStyle w:val="Heading2"/>
        <w:rPr>
          <w:lang w:val="fr-FR"/>
        </w:rPr>
      </w:pPr>
      <w:r w:rsidRPr="00652D04">
        <w:rPr>
          <w:lang w:val="fr-FR"/>
        </w:rPr>
        <w:lastRenderedPageBreak/>
        <w:t>Point</w:t>
      </w:r>
      <w:r w:rsidR="00B03A49" w:rsidRPr="00652D04">
        <w:rPr>
          <w:lang w:val="fr-FR"/>
        </w:rPr>
        <w:t> </w:t>
      </w:r>
      <w:r w:rsidRPr="00652D04">
        <w:rPr>
          <w:lang w:val="fr-FR"/>
        </w:rPr>
        <w:t>23 de l</w:t>
      </w:r>
      <w:r w:rsidR="00D67156" w:rsidRPr="00652D04">
        <w:rPr>
          <w:lang w:val="fr-FR"/>
        </w:rPr>
        <w:t>’</w:t>
      </w:r>
      <w:r w:rsidRPr="00652D04">
        <w:rPr>
          <w:lang w:val="fr-FR"/>
        </w:rPr>
        <w:t>ordre du jour unifié</w:t>
      </w:r>
    </w:p>
    <w:p w:rsidR="000006CC" w:rsidRPr="00652D04" w:rsidRDefault="00B37165" w:rsidP="00B37165">
      <w:pPr>
        <w:pStyle w:val="Heading2"/>
        <w:rPr>
          <w:lang w:val="fr-FR"/>
        </w:rPr>
      </w:pPr>
      <w:r w:rsidRPr="00652D04">
        <w:rPr>
          <w:lang w:val="fr-FR"/>
        </w:rPr>
        <w:t>Avis du Comité de coordination à l</w:t>
      </w:r>
      <w:r w:rsidR="00D67156" w:rsidRPr="00652D04">
        <w:rPr>
          <w:lang w:val="fr-FR"/>
        </w:rPr>
        <w:t>’</w:t>
      </w:r>
      <w:r w:rsidRPr="00652D04">
        <w:rPr>
          <w:lang w:val="fr-FR"/>
        </w:rPr>
        <w:t>intention de l</w:t>
      </w:r>
      <w:r w:rsidR="00D67156" w:rsidRPr="00652D04">
        <w:rPr>
          <w:lang w:val="fr-FR"/>
        </w:rPr>
        <w:t>’</w:t>
      </w:r>
      <w:r w:rsidRPr="00652D04">
        <w:rPr>
          <w:lang w:val="fr-FR"/>
        </w:rPr>
        <w:t>Assemblée de l</w:t>
      </w:r>
      <w:r w:rsidR="00D67156" w:rsidRPr="00652D04">
        <w:rPr>
          <w:lang w:val="fr-FR"/>
        </w:rPr>
        <w:t>’</w:t>
      </w:r>
      <w:r w:rsidRPr="00652D04">
        <w:rPr>
          <w:lang w:val="fr-FR"/>
        </w:rPr>
        <w:t>Union de Lisbonne concernant la proposition relative à l</w:t>
      </w:r>
      <w:r w:rsidR="00D67156" w:rsidRPr="00652D04">
        <w:rPr>
          <w:lang w:val="fr-FR"/>
        </w:rPr>
        <w:t>’</w:t>
      </w:r>
      <w:r w:rsidRPr="00652D04">
        <w:rPr>
          <w:lang w:val="fr-FR"/>
        </w:rPr>
        <w:t>établissement d</w:t>
      </w:r>
      <w:r w:rsidR="00D67156" w:rsidRPr="00652D04">
        <w:rPr>
          <w:lang w:val="fr-FR"/>
        </w:rPr>
        <w:t>’</w:t>
      </w:r>
      <w:r w:rsidRPr="00652D04">
        <w:rPr>
          <w:lang w:val="fr-FR"/>
        </w:rPr>
        <w:t>un fonds de roulement pour l</w:t>
      </w:r>
      <w:r w:rsidR="00D67156" w:rsidRPr="00652D04">
        <w:rPr>
          <w:lang w:val="fr-FR"/>
        </w:rPr>
        <w:t>’</w:t>
      </w:r>
      <w:r w:rsidRPr="00652D04">
        <w:rPr>
          <w:lang w:val="fr-FR"/>
        </w:rPr>
        <w:t>Union de Lisbonne</w:t>
      </w:r>
    </w:p>
    <w:p w:rsidR="000006CC" w:rsidRPr="00652D04" w:rsidRDefault="000006CC" w:rsidP="00D813B7">
      <w:pPr>
        <w:tabs>
          <w:tab w:val="num" w:pos="-57"/>
        </w:tabs>
        <w:contextualSpacing/>
        <w:rPr>
          <w:lang w:val="fr-FR"/>
        </w:rPr>
      </w:pPr>
    </w:p>
    <w:p w:rsidR="000006CC" w:rsidRPr="00652D04" w:rsidRDefault="00B37165" w:rsidP="00B37165">
      <w:pPr>
        <w:pStyle w:val="ONUMFS"/>
        <w:numPr>
          <w:ilvl w:val="0"/>
          <w:numId w:val="0"/>
        </w:numPr>
        <w:rPr>
          <w:lang w:val="fr-FR"/>
        </w:rPr>
      </w:pPr>
      <w:r w:rsidRPr="00652D04">
        <w:rPr>
          <w:lang w:val="fr-FR"/>
        </w:rPr>
        <w:t>Le Comité de coordination de l</w:t>
      </w:r>
      <w:r w:rsidR="00D67156" w:rsidRPr="00652D04">
        <w:rPr>
          <w:lang w:val="fr-FR"/>
        </w:rPr>
        <w:t>’</w:t>
      </w:r>
      <w:r w:rsidRPr="00652D04">
        <w:rPr>
          <w:lang w:val="fr-FR"/>
        </w:rPr>
        <w:t>OMPI a pris note des déclarations faites et a demandé à son président de transmettre le résultat des discussions au président de l</w:t>
      </w:r>
      <w:r w:rsidR="00D67156" w:rsidRPr="00652D04">
        <w:rPr>
          <w:lang w:val="fr-FR"/>
        </w:rPr>
        <w:t>’</w:t>
      </w:r>
      <w:r w:rsidRPr="00652D04">
        <w:rPr>
          <w:lang w:val="fr-FR"/>
        </w:rPr>
        <w:t>Assemblée de l</w:t>
      </w:r>
      <w:r w:rsidR="00D67156" w:rsidRPr="00652D04">
        <w:rPr>
          <w:lang w:val="fr-FR"/>
        </w:rPr>
        <w:t>’</w:t>
      </w:r>
      <w:r w:rsidRPr="00652D04">
        <w:rPr>
          <w:lang w:val="fr-FR"/>
        </w:rPr>
        <w:t>Union de Lisbonne.</w:t>
      </w:r>
    </w:p>
    <w:p w:rsidR="000006CC" w:rsidRPr="00652D04" w:rsidRDefault="000006CC" w:rsidP="00890EAC">
      <w:pPr>
        <w:pStyle w:val="Heading2"/>
        <w:rPr>
          <w:lang w:val="fr-FR"/>
        </w:rPr>
      </w:pPr>
      <w:r w:rsidRPr="00652D04">
        <w:rPr>
          <w:lang w:val="fr-FR"/>
        </w:rPr>
        <w:t>Point</w:t>
      </w:r>
      <w:r w:rsidR="00B03A49" w:rsidRPr="00652D04">
        <w:rPr>
          <w:lang w:val="fr-FR"/>
        </w:rPr>
        <w:t> </w:t>
      </w:r>
      <w:r w:rsidRPr="00652D04">
        <w:rPr>
          <w:lang w:val="fr-FR"/>
        </w:rPr>
        <w:t>24 de l</w:t>
      </w:r>
      <w:r w:rsidR="00D67156" w:rsidRPr="00652D04">
        <w:rPr>
          <w:lang w:val="fr-FR"/>
        </w:rPr>
        <w:t>’</w:t>
      </w:r>
      <w:r w:rsidRPr="00652D04">
        <w:rPr>
          <w:lang w:val="fr-FR"/>
        </w:rPr>
        <w:t>ordre du jour unifié</w:t>
      </w:r>
    </w:p>
    <w:p w:rsidR="000006CC" w:rsidRPr="00652D04" w:rsidRDefault="000006CC" w:rsidP="00890EAC">
      <w:pPr>
        <w:pStyle w:val="Heading2"/>
        <w:rPr>
          <w:lang w:val="fr-FR"/>
        </w:rPr>
      </w:pPr>
      <w:r w:rsidRPr="00652D04">
        <w:rPr>
          <w:lang w:val="fr-FR"/>
        </w:rPr>
        <w:t>Centre d</w:t>
      </w:r>
      <w:r w:rsidR="00D67156" w:rsidRPr="00652D04">
        <w:rPr>
          <w:lang w:val="fr-FR"/>
        </w:rPr>
        <w:t>’</w:t>
      </w:r>
      <w:r w:rsidRPr="00652D04">
        <w:rPr>
          <w:lang w:val="fr-FR"/>
        </w:rPr>
        <w:t>arbitrage et de médiation de l</w:t>
      </w:r>
      <w:r w:rsidR="00D67156" w:rsidRPr="00652D04">
        <w:rPr>
          <w:lang w:val="fr-FR"/>
        </w:rPr>
        <w:t>’</w:t>
      </w:r>
      <w:r w:rsidRPr="00652D04">
        <w:rPr>
          <w:lang w:val="fr-FR"/>
        </w:rPr>
        <w:t xml:space="preserve">OMPI, </w:t>
      </w:r>
      <w:r w:rsidR="00D67156" w:rsidRPr="00652D04">
        <w:rPr>
          <w:lang w:val="fr-FR"/>
        </w:rPr>
        <w:t>y compris</w:t>
      </w:r>
      <w:r w:rsidRPr="00652D04">
        <w:rPr>
          <w:lang w:val="fr-FR"/>
        </w:rPr>
        <w:t xml:space="preserve"> les noms de domaine</w:t>
      </w:r>
    </w:p>
    <w:p w:rsidR="000006CC" w:rsidRPr="00652D04" w:rsidRDefault="000006CC" w:rsidP="00D813B7">
      <w:pPr>
        <w:tabs>
          <w:tab w:val="num" w:pos="-57"/>
        </w:tabs>
        <w:contextualSpacing/>
        <w:rPr>
          <w:lang w:val="fr-FR"/>
        </w:rPr>
      </w:pPr>
    </w:p>
    <w:p w:rsidR="000006CC" w:rsidRPr="00652D04" w:rsidRDefault="000006CC" w:rsidP="000006CC">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a pris note du contenu du document intitulé “Centre d</w:t>
      </w:r>
      <w:r w:rsidR="00D67156" w:rsidRPr="00652D04">
        <w:rPr>
          <w:lang w:val="fr-FR"/>
        </w:rPr>
        <w:t>’</w:t>
      </w:r>
      <w:r w:rsidRPr="00652D04">
        <w:rPr>
          <w:lang w:val="fr-FR"/>
        </w:rPr>
        <w:t>arbitrage et de médiation de l</w:t>
      </w:r>
      <w:r w:rsidR="00D67156" w:rsidRPr="00652D04">
        <w:rPr>
          <w:lang w:val="fr-FR"/>
        </w:rPr>
        <w:t>’</w:t>
      </w:r>
      <w:r w:rsidRPr="00652D04">
        <w:rPr>
          <w:lang w:val="fr-FR"/>
        </w:rPr>
        <w:t xml:space="preserve">OMPI, </w:t>
      </w:r>
      <w:r w:rsidR="00D67156" w:rsidRPr="00652D04">
        <w:rPr>
          <w:lang w:val="fr-FR"/>
        </w:rPr>
        <w:t>y compris</w:t>
      </w:r>
      <w:r w:rsidRPr="00652D04">
        <w:rPr>
          <w:lang w:val="fr-FR"/>
        </w:rPr>
        <w:t xml:space="preserve"> les noms de domaine” (document WO/GA/47/14).</w:t>
      </w:r>
    </w:p>
    <w:p w:rsidR="000006CC" w:rsidRPr="00652D04" w:rsidRDefault="000006CC" w:rsidP="000006CC">
      <w:pPr>
        <w:pStyle w:val="Heading2"/>
        <w:rPr>
          <w:lang w:val="fr-FR"/>
        </w:rPr>
      </w:pPr>
      <w:r w:rsidRPr="00652D04">
        <w:rPr>
          <w:lang w:val="fr-FR"/>
        </w:rPr>
        <w:t>Point</w:t>
      </w:r>
      <w:r w:rsidR="00B03A49" w:rsidRPr="00652D04">
        <w:rPr>
          <w:lang w:val="fr-FR"/>
        </w:rPr>
        <w:t> </w:t>
      </w:r>
      <w:r w:rsidRPr="00652D04">
        <w:rPr>
          <w:lang w:val="fr-FR"/>
        </w:rPr>
        <w:t>25 de l</w:t>
      </w:r>
      <w:r w:rsidR="00D67156" w:rsidRPr="00652D04">
        <w:rPr>
          <w:lang w:val="fr-FR"/>
        </w:rPr>
        <w:t>’</w:t>
      </w:r>
      <w:r w:rsidRPr="00652D04">
        <w:rPr>
          <w:lang w:val="fr-FR"/>
        </w:rPr>
        <w:t>ordre du jour unifié</w:t>
      </w:r>
    </w:p>
    <w:p w:rsidR="000006CC" w:rsidRPr="00652D04" w:rsidRDefault="000006CC" w:rsidP="000006CC">
      <w:pPr>
        <w:pStyle w:val="Heading2"/>
        <w:rPr>
          <w:lang w:val="fr-FR"/>
        </w:rPr>
      </w:pPr>
      <w:r w:rsidRPr="00652D04">
        <w:rPr>
          <w:lang w:val="fr-FR"/>
        </w:rPr>
        <w:t>Traité sur le droit des brevets (PLT)</w:t>
      </w:r>
    </w:p>
    <w:p w:rsidR="000006CC" w:rsidRPr="00652D04" w:rsidRDefault="000006CC" w:rsidP="00B37165">
      <w:pPr>
        <w:rPr>
          <w:lang w:val="fr-FR"/>
        </w:rPr>
      </w:pPr>
    </w:p>
    <w:p w:rsidR="000006CC" w:rsidRPr="00652D04" w:rsidRDefault="000006CC" w:rsidP="000006CC">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de l</w:t>
      </w:r>
      <w:r w:rsidR="00D67156" w:rsidRPr="00652D04">
        <w:rPr>
          <w:lang w:val="fr-FR"/>
        </w:rPr>
        <w:t>’</w:t>
      </w:r>
      <w:r w:rsidRPr="00652D04">
        <w:rPr>
          <w:lang w:val="fr-FR"/>
        </w:rPr>
        <w:t>OMPI a pris note du document intitulé “Coopération dans le cadre des déclarations communes de la Conférence diplomatique pour l</w:t>
      </w:r>
      <w:r w:rsidR="00D67156" w:rsidRPr="00652D04">
        <w:rPr>
          <w:lang w:val="fr-FR"/>
        </w:rPr>
        <w:t>’</w:t>
      </w:r>
      <w:r w:rsidRPr="00652D04">
        <w:rPr>
          <w:lang w:val="fr-FR"/>
        </w:rPr>
        <w:t>adoption du Traité sur le droit des brevets” (document WO/GA/47/15).</w:t>
      </w:r>
    </w:p>
    <w:p w:rsidR="000006CC" w:rsidRPr="00652D04" w:rsidRDefault="000006CC" w:rsidP="000006CC">
      <w:pPr>
        <w:pStyle w:val="Heading2"/>
        <w:rPr>
          <w:lang w:val="fr-FR"/>
        </w:rPr>
      </w:pPr>
      <w:r w:rsidRPr="00652D04">
        <w:rPr>
          <w:lang w:val="fr-FR"/>
        </w:rPr>
        <w:t>Point</w:t>
      </w:r>
      <w:r w:rsidR="00B03A49" w:rsidRPr="00652D04">
        <w:rPr>
          <w:lang w:val="fr-FR"/>
        </w:rPr>
        <w:t> </w:t>
      </w:r>
      <w:r w:rsidRPr="00652D04">
        <w:rPr>
          <w:lang w:val="fr-FR"/>
        </w:rPr>
        <w:t>26 de l</w:t>
      </w:r>
      <w:r w:rsidR="00D67156" w:rsidRPr="00652D04">
        <w:rPr>
          <w:lang w:val="fr-FR"/>
        </w:rPr>
        <w:t>’</w:t>
      </w:r>
      <w:r w:rsidRPr="00652D04">
        <w:rPr>
          <w:lang w:val="fr-FR"/>
        </w:rPr>
        <w:t>ordre du jour unifié</w:t>
      </w:r>
    </w:p>
    <w:p w:rsidR="000006CC" w:rsidRPr="00652D04" w:rsidRDefault="000006CC" w:rsidP="000006CC">
      <w:pPr>
        <w:pStyle w:val="Heading2"/>
        <w:rPr>
          <w:lang w:val="fr-FR"/>
        </w:rPr>
      </w:pPr>
      <w:r w:rsidRPr="00652D04">
        <w:rPr>
          <w:lang w:val="fr-FR"/>
        </w:rPr>
        <w:t>Traité de Singapour sur le droit des marques (STLT)</w:t>
      </w:r>
    </w:p>
    <w:p w:rsidR="000006CC" w:rsidRPr="00652D04" w:rsidRDefault="000006CC" w:rsidP="00B37165">
      <w:pPr>
        <w:rPr>
          <w:lang w:val="fr-FR"/>
        </w:rPr>
      </w:pPr>
    </w:p>
    <w:p w:rsidR="000006CC" w:rsidRPr="00652D04" w:rsidRDefault="000006CC" w:rsidP="000006CC">
      <w:pPr>
        <w:pStyle w:val="ONUMFS"/>
        <w:numPr>
          <w:ilvl w:val="0"/>
          <w:numId w:val="0"/>
        </w:numPr>
        <w:rPr>
          <w:lang w:val="fr-FR"/>
        </w:rPr>
      </w:pPr>
      <w:r w:rsidRPr="00652D04">
        <w:rPr>
          <w:lang w:val="fr-FR"/>
        </w:rPr>
        <w:t>L</w:t>
      </w:r>
      <w:r w:rsidR="00D67156" w:rsidRPr="00652D04">
        <w:rPr>
          <w:lang w:val="fr-FR"/>
        </w:rPr>
        <w:t>’</w:t>
      </w:r>
      <w:r w:rsidRPr="00652D04">
        <w:rPr>
          <w:lang w:val="fr-FR"/>
        </w:rPr>
        <w:t>assemblée a pris note du contenu du document intitulé “Assistance pour la mise en œuvre du Traité de Singapour sur le droit des marques” (document STLT/A/8/1).</w:t>
      </w:r>
    </w:p>
    <w:p w:rsidR="000006CC" w:rsidRPr="00652D04" w:rsidRDefault="000006CC" w:rsidP="000006CC">
      <w:pPr>
        <w:pStyle w:val="Heading2"/>
        <w:rPr>
          <w:lang w:val="fr-FR"/>
        </w:rPr>
      </w:pPr>
      <w:r w:rsidRPr="00652D04">
        <w:rPr>
          <w:lang w:val="fr-FR"/>
        </w:rPr>
        <w:t>Point</w:t>
      </w:r>
      <w:r w:rsidR="00B03A49" w:rsidRPr="00652D04">
        <w:rPr>
          <w:lang w:val="fr-FR"/>
        </w:rPr>
        <w:t> </w:t>
      </w:r>
      <w:r w:rsidRPr="00652D04">
        <w:rPr>
          <w:lang w:val="fr-FR"/>
        </w:rPr>
        <w:t>27 de l</w:t>
      </w:r>
      <w:r w:rsidR="00D67156" w:rsidRPr="00652D04">
        <w:rPr>
          <w:lang w:val="fr-FR"/>
        </w:rPr>
        <w:t>’</w:t>
      </w:r>
      <w:r w:rsidRPr="00652D04">
        <w:rPr>
          <w:lang w:val="fr-FR"/>
        </w:rPr>
        <w:t>ordre du jour unifié</w:t>
      </w:r>
    </w:p>
    <w:p w:rsidR="000006CC" w:rsidRPr="00652D04" w:rsidRDefault="000006CC" w:rsidP="000006CC">
      <w:pPr>
        <w:pStyle w:val="Heading2"/>
        <w:rPr>
          <w:lang w:val="fr-FR"/>
        </w:rPr>
      </w:pPr>
      <w:r w:rsidRPr="00652D04">
        <w:rPr>
          <w:lang w:val="fr-FR"/>
        </w:rPr>
        <w:t>Questions concernant l</w:t>
      </w:r>
      <w:r w:rsidR="00D67156" w:rsidRPr="00652D04">
        <w:rPr>
          <w:lang w:val="fr-FR"/>
        </w:rPr>
        <w:t>’</w:t>
      </w:r>
      <w:r w:rsidRPr="00652D04">
        <w:rPr>
          <w:lang w:val="fr-FR"/>
        </w:rPr>
        <w:t>administration de l</w:t>
      </w:r>
      <w:r w:rsidR="00D67156" w:rsidRPr="00652D04">
        <w:rPr>
          <w:lang w:val="fr-FR"/>
        </w:rPr>
        <w:t>’</w:t>
      </w:r>
      <w:r w:rsidRPr="00652D04">
        <w:rPr>
          <w:lang w:val="fr-FR"/>
        </w:rPr>
        <w:t>Acte de Genève de l</w:t>
      </w:r>
      <w:r w:rsidR="00D67156" w:rsidRPr="00652D04">
        <w:rPr>
          <w:lang w:val="fr-FR"/>
        </w:rPr>
        <w:t>’</w:t>
      </w:r>
      <w:r w:rsidRPr="00652D04">
        <w:rPr>
          <w:lang w:val="fr-FR"/>
        </w:rPr>
        <w:t>Arrangement de Lisbonne</w:t>
      </w:r>
    </w:p>
    <w:p w:rsidR="000006CC" w:rsidRPr="00652D04" w:rsidRDefault="000006CC" w:rsidP="00B37165">
      <w:pPr>
        <w:rPr>
          <w:lang w:val="fr-FR"/>
        </w:rPr>
      </w:pPr>
    </w:p>
    <w:p w:rsidR="000006CC" w:rsidRPr="00652D04" w:rsidRDefault="000006CC" w:rsidP="000006CC">
      <w:pPr>
        <w:pStyle w:val="ONUMFS"/>
        <w:numPr>
          <w:ilvl w:val="0"/>
          <w:numId w:val="0"/>
        </w:numPr>
        <w:rPr>
          <w:lang w:val="fr-FR"/>
        </w:rPr>
      </w:pPr>
      <w:r w:rsidRPr="00652D04">
        <w:rPr>
          <w:lang w:val="fr-FR"/>
        </w:rPr>
        <w:t>L</w:t>
      </w:r>
      <w:r w:rsidR="00D67156" w:rsidRPr="00652D04">
        <w:rPr>
          <w:lang w:val="fr-FR"/>
        </w:rPr>
        <w:t>’</w:t>
      </w:r>
      <w:r w:rsidRPr="00652D04">
        <w:rPr>
          <w:lang w:val="fr-FR"/>
        </w:rPr>
        <w:t>Assemblée générale a examiné le document WO/GA/47/3 et n</w:t>
      </w:r>
      <w:r w:rsidR="00D67156" w:rsidRPr="00652D04">
        <w:rPr>
          <w:lang w:val="fr-FR"/>
        </w:rPr>
        <w:t>’</w:t>
      </w:r>
      <w:r w:rsidRPr="00652D04">
        <w:rPr>
          <w:lang w:val="fr-FR"/>
        </w:rPr>
        <w:t>est pas parvenue à un consensus.</w:t>
      </w:r>
    </w:p>
    <w:p w:rsidR="000006CC" w:rsidRPr="00652D04" w:rsidRDefault="000006CC" w:rsidP="00652D04">
      <w:pPr>
        <w:pStyle w:val="Heading2"/>
        <w:keepLines/>
        <w:rPr>
          <w:lang w:val="fr-FR"/>
        </w:rPr>
      </w:pPr>
      <w:r w:rsidRPr="00652D04">
        <w:rPr>
          <w:lang w:val="fr-FR"/>
        </w:rPr>
        <w:lastRenderedPageBreak/>
        <w:t>Point</w:t>
      </w:r>
      <w:r w:rsidR="00B03A49" w:rsidRPr="00652D04">
        <w:rPr>
          <w:lang w:val="fr-FR"/>
        </w:rPr>
        <w:t> </w:t>
      </w:r>
      <w:r w:rsidRPr="00652D04">
        <w:rPr>
          <w:lang w:val="fr-FR"/>
        </w:rPr>
        <w:t>28 de l</w:t>
      </w:r>
      <w:r w:rsidR="00D67156" w:rsidRPr="00652D04">
        <w:rPr>
          <w:lang w:val="fr-FR"/>
        </w:rPr>
        <w:t>’</w:t>
      </w:r>
      <w:r w:rsidRPr="00652D04">
        <w:rPr>
          <w:lang w:val="fr-FR"/>
        </w:rPr>
        <w:t>ordre du jour unifié</w:t>
      </w:r>
    </w:p>
    <w:p w:rsidR="000006CC" w:rsidRPr="00652D04" w:rsidRDefault="000006CC" w:rsidP="00652D04">
      <w:pPr>
        <w:pStyle w:val="Heading2"/>
        <w:keepLines/>
        <w:rPr>
          <w:lang w:val="fr-FR"/>
        </w:rPr>
      </w:pPr>
      <w:r w:rsidRPr="00652D04">
        <w:rPr>
          <w:lang w:val="fr-FR"/>
        </w:rPr>
        <w:t>Rapports sur les questions concernant le personnel</w:t>
      </w:r>
    </w:p>
    <w:p w:rsidR="000006CC" w:rsidRPr="00652D04" w:rsidRDefault="000006CC" w:rsidP="00652D04">
      <w:pPr>
        <w:pStyle w:val="Heading3"/>
        <w:keepLines/>
        <w:rPr>
          <w:lang w:val="fr-FR"/>
        </w:rPr>
      </w:pPr>
      <w:r w:rsidRPr="00652D04">
        <w:rPr>
          <w:lang w:val="fr-FR"/>
        </w:rPr>
        <w:t>Rapport sur les ressources humaines</w:t>
      </w:r>
    </w:p>
    <w:p w:rsidR="000006CC" w:rsidRPr="00652D04" w:rsidRDefault="000006CC" w:rsidP="00652D04">
      <w:pPr>
        <w:keepNext/>
        <w:keepLines/>
        <w:rPr>
          <w:lang w:val="fr-FR"/>
        </w:rPr>
      </w:pPr>
    </w:p>
    <w:p w:rsidR="000006CC" w:rsidRPr="00652D04" w:rsidRDefault="000006CC" w:rsidP="00652D04">
      <w:pPr>
        <w:pStyle w:val="ONUMFS"/>
        <w:keepNext/>
        <w:keepLines/>
        <w:numPr>
          <w:ilvl w:val="0"/>
          <w:numId w:val="0"/>
        </w:numPr>
        <w:rPr>
          <w:lang w:val="fr-FR"/>
        </w:rPr>
      </w:pPr>
      <w:r w:rsidRPr="00652D04">
        <w:rPr>
          <w:lang w:val="fr-FR"/>
        </w:rPr>
        <w:t>Le Comité de coordination de l</w:t>
      </w:r>
      <w:r w:rsidR="00D67156" w:rsidRPr="00652D04">
        <w:rPr>
          <w:lang w:val="fr-FR"/>
        </w:rPr>
        <w:t>’</w:t>
      </w:r>
      <w:r w:rsidRPr="00652D04">
        <w:rPr>
          <w:lang w:val="fr-FR"/>
        </w:rPr>
        <w:t>OMPI</w:t>
      </w:r>
    </w:p>
    <w:p w:rsidR="000006CC" w:rsidRPr="00652D04" w:rsidRDefault="000006CC" w:rsidP="00652D04">
      <w:pPr>
        <w:pStyle w:val="ONUMFS"/>
        <w:keepNext/>
        <w:keepLines/>
        <w:numPr>
          <w:ilvl w:val="0"/>
          <w:numId w:val="0"/>
        </w:numPr>
        <w:rPr>
          <w:lang w:val="fr-FR"/>
        </w:rPr>
      </w:pPr>
      <w:r w:rsidRPr="00652D04">
        <w:rPr>
          <w:lang w:val="fr-FR"/>
        </w:rPr>
        <w:t>i)</w:t>
      </w:r>
      <w:r w:rsidRPr="00652D04">
        <w:rPr>
          <w:lang w:val="fr-FR"/>
        </w:rPr>
        <w:tab/>
        <w:t>a pris note des informations figurant au paragraphe</w:t>
      </w:r>
      <w:r w:rsidR="00B03A49" w:rsidRPr="00652D04">
        <w:rPr>
          <w:lang w:val="fr-FR"/>
        </w:rPr>
        <w:t> </w:t>
      </w:r>
      <w:r w:rsidRPr="00652D04">
        <w:rPr>
          <w:lang w:val="fr-FR"/>
        </w:rPr>
        <w:t>9</w:t>
      </w:r>
      <w:r w:rsidR="0035721F">
        <w:rPr>
          <w:lang w:val="fr-FR"/>
        </w:rPr>
        <w:t>2</w:t>
      </w:r>
      <w:r w:rsidRPr="00652D04">
        <w:rPr>
          <w:lang w:val="fr-FR"/>
        </w:rPr>
        <w:t xml:space="preserve"> du document WO/CC/71/2</w:t>
      </w:r>
      <w:r w:rsidR="00B03A49" w:rsidRPr="00652D04">
        <w:rPr>
          <w:lang w:val="fr-FR"/>
        </w:rPr>
        <w:t> </w:t>
      </w:r>
      <w:proofErr w:type="spellStart"/>
      <w:r w:rsidRPr="00652D04">
        <w:rPr>
          <w:lang w:val="fr-FR"/>
        </w:rPr>
        <w:t>Rev</w:t>
      </w:r>
      <w:proofErr w:type="spellEnd"/>
      <w:r w:rsidRPr="00652D04">
        <w:rPr>
          <w:lang w:val="fr-FR"/>
        </w:rPr>
        <w:t xml:space="preserve">. </w:t>
      </w:r>
      <w:proofErr w:type="gramStart"/>
      <w:r w:rsidRPr="00652D04">
        <w:rPr>
          <w:lang w:val="fr-FR"/>
        </w:rPr>
        <w:t>et</w:t>
      </w:r>
      <w:proofErr w:type="gramEnd"/>
      <w:r w:rsidRPr="00652D04">
        <w:rPr>
          <w:lang w:val="fr-FR"/>
        </w:rPr>
        <w:t xml:space="preserve"> a approuvé l</w:t>
      </w:r>
      <w:r w:rsidR="00D67156" w:rsidRPr="00652D04">
        <w:rPr>
          <w:lang w:val="fr-FR"/>
        </w:rPr>
        <w:t>’</w:t>
      </w:r>
      <w:r w:rsidRPr="00652D04">
        <w:rPr>
          <w:lang w:val="fr-FR"/>
        </w:rPr>
        <w:t>acceptation des distinctions par le Directeur général,</w:t>
      </w:r>
    </w:p>
    <w:p w:rsidR="000006CC" w:rsidRPr="00652D04" w:rsidRDefault="000006CC" w:rsidP="000006CC">
      <w:pPr>
        <w:pStyle w:val="ONUMFS"/>
        <w:numPr>
          <w:ilvl w:val="0"/>
          <w:numId w:val="0"/>
        </w:numPr>
        <w:rPr>
          <w:lang w:val="fr-FR"/>
        </w:rPr>
      </w:pPr>
      <w:r w:rsidRPr="00652D04">
        <w:rPr>
          <w:lang w:val="fr-FR"/>
        </w:rPr>
        <w:t>ii)</w:t>
      </w:r>
      <w:r w:rsidRPr="00652D04">
        <w:rPr>
          <w:lang w:val="fr-FR"/>
        </w:rPr>
        <w:tab/>
        <w:t>a pris note des informations figurant au</w:t>
      </w:r>
      <w:r w:rsidR="0035721F">
        <w:rPr>
          <w:lang w:val="fr-FR"/>
        </w:rPr>
        <w:t>x</w:t>
      </w:r>
      <w:r w:rsidRPr="00652D04">
        <w:rPr>
          <w:lang w:val="fr-FR"/>
        </w:rPr>
        <w:t xml:space="preserve"> paragraphe</w:t>
      </w:r>
      <w:r w:rsidR="0035721F">
        <w:rPr>
          <w:lang w:val="fr-FR"/>
        </w:rPr>
        <w:t>s 95 et</w:t>
      </w:r>
      <w:r w:rsidR="00B03A49" w:rsidRPr="00652D04">
        <w:rPr>
          <w:lang w:val="fr-FR"/>
        </w:rPr>
        <w:t> </w:t>
      </w:r>
      <w:r w:rsidRPr="00652D04">
        <w:rPr>
          <w:lang w:val="fr-FR"/>
        </w:rPr>
        <w:t>9</w:t>
      </w:r>
      <w:r w:rsidR="0035721F">
        <w:rPr>
          <w:lang w:val="fr-FR"/>
        </w:rPr>
        <w:t>6</w:t>
      </w:r>
      <w:r w:rsidRPr="00652D04">
        <w:rPr>
          <w:lang w:val="fr-FR"/>
        </w:rPr>
        <w:t xml:space="preserve"> du document WO/CC/71/2</w:t>
      </w:r>
      <w:r w:rsidR="00B03A49" w:rsidRPr="00652D04">
        <w:rPr>
          <w:lang w:val="fr-FR"/>
        </w:rPr>
        <w:t> </w:t>
      </w:r>
      <w:proofErr w:type="spellStart"/>
      <w:r w:rsidRPr="00652D04">
        <w:rPr>
          <w:lang w:val="fr-FR"/>
        </w:rPr>
        <w:t>Rev</w:t>
      </w:r>
      <w:proofErr w:type="spellEnd"/>
      <w:r w:rsidRPr="00652D04">
        <w:rPr>
          <w:lang w:val="fr-FR"/>
        </w:rPr>
        <w:t>., et</w:t>
      </w:r>
    </w:p>
    <w:p w:rsidR="00D67156" w:rsidRPr="00652D04" w:rsidRDefault="000006CC" w:rsidP="000006CC">
      <w:pPr>
        <w:pStyle w:val="ONUMFS"/>
        <w:numPr>
          <w:ilvl w:val="0"/>
          <w:numId w:val="0"/>
        </w:numPr>
        <w:rPr>
          <w:lang w:val="fr-FR"/>
        </w:rPr>
      </w:pPr>
      <w:r w:rsidRPr="00652D04">
        <w:rPr>
          <w:lang w:val="fr-FR"/>
        </w:rPr>
        <w:t>iii)</w:t>
      </w:r>
      <w:r w:rsidRPr="00652D04">
        <w:rPr>
          <w:lang w:val="fr-FR"/>
        </w:rPr>
        <w:tab/>
        <w:t>a noté que des consultations seront menées sous la conduite du président du Comité de coordination de l</w:t>
      </w:r>
      <w:r w:rsidR="00D67156" w:rsidRPr="00652D04">
        <w:rPr>
          <w:lang w:val="fr-FR"/>
        </w:rPr>
        <w:t>’</w:t>
      </w:r>
      <w:r w:rsidRPr="00652D04">
        <w:rPr>
          <w:lang w:val="fr-FR"/>
        </w:rPr>
        <w:t>OMPI en vue de réexaminer les principes de</w:t>
      </w:r>
      <w:r w:rsidR="00B03A49" w:rsidRPr="00652D04">
        <w:rPr>
          <w:lang w:val="fr-FR"/>
        </w:rPr>
        <w:t> </w:t>
      </w:r>
      <w:r w:rsidRPr="00652D04">
        <w:rPr>
          <w:lang w:val="fr-FR"/>
        </w:rPr>
        <w:t>1975 relatifs à la représentation géographique, dans la perspective de présenter une proposition au Comité de coordination lors de la session de</w:t>
      </w:r>
      <w:r w:rsidR="00B03A49" w:rsidRPr="00652D04">
        <w:rPr>
          <w:lang w:val="fr-FR"/>
        </w:rPr>
        <w:t> </w:t>
      </w:r>
      <w:r w:rsidRPr="00652D04">
        <w:rPr>
          <w:lang w:val="fr-FR"/>
        </w:rPr>
        <w:t>2016 des assemblées des États membres.</w:t>
      </w:r>
    </w:p>
    <w:p w:rsidR="000006CC" w:rsidRPr="00652D04" w:rsidRDefault="000006CC" w:rsidP="000006CC">
      <w:pPr>
        <w:pStyle w:val="Heading3"/>
        <w:rPr>
          <w:lang w:val="fr-FR"/>
        </w:rPr>
      </w:pPr>
      <w:r w:rsidRPr="00652D04">
        <w:rPr>
          <w:lang w:val="fr-FR"/>
        </w:rPr>
        <w:t>Rapport du Bureau de la déontologie</w:t>
      </w:r>
    </w:p>
    <w:p w:rsidR="000006CC" w:rsidRPr="00652D04" w:rsidRDefault="000006CC" w:rsidP="00B37165">
      <w:pPr>
        <w:rPr>
          <w:lang w:val="fr-FR"/>
        </w:rPr>
      </w:pPr>
    </w:p>
    <w:p w:rsidR="000006CC" w:rsidRPr="00652D04" w:rsidRDefault="000006CC" w:rsidP="000006CC">
      <w:pPr>
        <w:pStyle w:val="ONUMFS"/>
        <w:numPr>
          <w:ilvl w:val="0"/>
          <w:numId w:val="0"/>
        </w:numPr>
        <w:rPr>
          <w:lang w:val="fr-FR"/>
        </w:rPr>
      </w:pPr>
      <w:r w:rsidRPr="00652D04">
        <w:rPr>
          <w:lang w:val="fr-FR"/>
        </w:rPr>
        <w:t>Le Comité de coordination de l</w:t>
      </w:r>
      <w:r w:rsidR="00D67156" w:rsidRPr="00652D04">
        <w:rPr>
          <w:lang w:val="fr-FR"/>
        </w:rPr>
        <w:t>’</w:t>
      </w:r>
      <w:r w:rsidRPr="00652D04">
        <w:rPr>
          <w:lang w:val="fr-FR"/>
        </w:rPr>
        <w:t>OMPI a pris note du Rapport annuel du Bureau de la déontologie (document WO/CC/71/3</w:t>
      </w:r>
      <w:r w:rsidR="00B03A49" w:rsidRPr="00652D04">
        <w:rPr>
          <w:lang w:val="fr-FR"/>
        </w:rPr>
        <w:t> </w:t>
      </w:r>
      <w:proofErr w:type="spellStart"/>
      <w:r w:rsidRPr="00652D04">
        <w:rPr>
          <w:lang w:val="fr-FR"/>
        </w:rPr>
        <w:t>Rev</w:t>
      </w:r>
      <w:proofErr w:type="spellEnd"/>
      <w:r w:rsidRPr="00652D04">
        <w:rPr>
          <w:lang w:val="fr-FR"/>
        </w:rPr>
        <w:t>.).</w:t>
      </w:r>
    </w:p>
    <w:p w:rsidR="000006CC" w:rsidRPr="00652D04" w:rsidRDefault="000006CC" w:rsidP="000006CC">
      <w:pPr>
        <w:pStyle w:val="Heading2"/>
        <w:rPr>
          <w:lang w:val="fr-FR"/>
        </w:rPr>
      </w:pPr>
      <w:r w:rsidRPr="00652D04">
        <w:rPr>
          <w:lang w:val="fr-FR"/>
        </w:rPr>
        <w:t>Point</w:t>
      </w:r>
      <w:r w:rsidR="00B03A49" w:rsidRPr="00652D04">
        <w:rPr>
          <w:lang w:val="fr-FR"/>
        </w:rPr>
        <w:t> </w:t>
      </w:r>
      <w:r w:rsidRPr="00652D04">
        <w:rPr>
          <w:lang w:val="fr-FR"/>
        </w:rPr>
        <w:t>29 de l</w:t>
      </w:r>
      <w:r w:rsidR="00D67156" w:rsidRPr="00652D04">
        <w:rPr>
          <w:lang w:val="fr-FR"/>
        </w:rPr>
        <w:t>’</w:t>
      </w:r>
      <w:r w:rsidRPr="00652D04">
        <w:rPr>
          <w:lang w:val="fr-FR"/>
        </w:rPr>
        <w:t>ordre du jour unifié</w:t>
      </w:r>
    </w:p>
    <w:p w:rsidR="000006CC" w:rsidRPr="00652D04" w:rsidRDefault="000006CC" w:rsidP="000006CC">
      <w:pPr>
        <w:pStyle w:val="Heading2"/>
        <w:rPr>
          <w:lang w:val="fr-FR"/>
        </w:rPr>
      </w:pPr>
      <w:r w:rsidRPr="00652D04">
        <w:rPr>
          <w:lang w:val="fr-FR"/>
        </w:rPr>
        <w:t>Amendements du Statut et Règlement du personnel</w:t>
      </w:r>
    </w:p>
    <w:p w:rsidR="000006CC" w:rsidRPr="00652D04" w:rsidRDefault="000006CC" w:rsidP="00B37165">
      <w:pPr>
        <w:rPr>
          <w:lang w:val="fr-FR"/>
        </w:rPr>
      </w:pPr>
    </w:p>
    <w:p w:rsidR="000006CC" w:rsidRPr="00652D04" w:rsidRDefault="000006CC" w:rsidP="000006CC">
      <w:pPr>
        <w:pStyle w:val="ONUMFS"/>
        <w:numPr>
          <w:ilvl w:val="0"/>
          <w:numId w:val="0"/>
        </w:numPr>
        <w:rPr>
          <w:lang w:val="fr-FR"/>
        </w:rPr>
      </w:pPr>
      <w:r w:rsidRPr="00652D04">
        <w:rPr>
          <w:lang w:val="fr-FR"/>
        </w:rPr>
        <w:t>Le Comité de coordination de l</w:t>
      </w:r>
      <w:r w:rsidR="00D67156" w:rsidRPr="00652D04">
        <w:rPr>
          <w:lang w:val="fr-FR"/>
        </w:rPr>
        <w:t>’</w:t>
      </w:r>
      <w:r w:rsidRPr="00652D04">
        <w:rPr>
          <w:lang w:val="fr-FR"/>
        </w:rPr>
        <w:t>OMPI</w:t>
      </w:r>
    </w:p>
    <w:p w:rsidR="000006CC" w:rsidRPr="00652D04" w:rsidRDefault="000006CC" w:rsidP="000006CC">
      <w:pPr>
        <w:pStyle w:val="ONUMFS"/>
        <w:numPr>
          <w:ilvl w:val="0"/>
          <w:numId w:val="0"/>
        </w:numPr>
        <w:rPr>
          <w:lang w:val="fr-FR"/>
        </w:rPr>
      </w:pPr>
      <w:r w:rsidRPr="00652D04">
        <w:rPr>
          <w:lang w:val="fr-FR"/>
        </w:rPr>
        <w:t>i)</w:t>
      </w:r>
      <w:r w:rsidRPr="00652D04">
        <w:rPr>
          <w:lang w:val="fr-FR"/>
        </w:rPr>
        <w:tab/>
        <w:t>a approuvé les amendements du Statut du personnel, à l</w:t>
      </w:r>
      <w:r w:rsidR="00D67156" w:rsidRPr="00652D04">
        <w:rPr>
          <w:lang w:val="fr-FR"/>
        </w:rPr>
        <w:t>’</w:t>
      </w:r>
      <w:r w:rsidRPr="00652D04">
        <w:rPr>
          <w:lang w:val="fr-FR"/>
        </w:rPr>
        <w:t>exception de l</w:t>
      </w:r>
      <w:r w:rsidR="00D67156" w:rsidRPr="00652D04">
        <w:rPr>
          <w:lang w:val="fr-FR"/>
        </w:rPr>
        <w:t>’</w:t>
      </w:r>
      <w:r w:rsidRPr="00652D04">
        <w:rPr>
          <w:lang w:val="fr-FR"/>
        </w:rPr>
        <w:t>article</w:t>
      </w:r>
      <w:r w:rsidR="00B03A49" w:rsidRPr="00652D04">
        <w:rPr>
          <w:lang w:val="fr-FR"/>
        </w:rPr>
        <w:t> </w:t>
      </w:r>
      <w:r w:rsidRPr="00652D04">
        <w:rPr>
          <w:lang w:val="fr-FR"/>
        </w:rPr>
        <w:t>3.25 du Statut du personnel (“Augmentation spéciale de traitement”), indiqués en détail à l</w:t>
      </w:r>
      <w:r w:rsidR="00D67156" w:rsidRPr="00652D04">
        <w:rPr>
          <w:lang w:val="fr-FR"/>
        </w:rPr>
        <w:t>’</w:t>
      </w:r>
      <w:r w:rsidRPr="00652D04">
        <w:rPr>
          <w:lang w:val="fr-FR"/>
        </w:rPr>
        <w:t>annexe</w:t>
      </w:r>
      <w:r w:rsidR="00B03A49" w:rsidRPr="00652D04">
        <w:rPr>
          <w:lang w:val="fr-FR"/>
        </w:rPr>
        <w:t> </w:t>
      </w:r>
      <w:r w:rsidRPr="00652D04">
        <w:rPr>
          <w:lang w:val="fr-FR"/>
        </w:rPr>
        <w:t>I, ainsi que la mesure transitoire spéciale indiquée au paragraphe</w:t>
      </w:r>
      <w:r w:rsidR="00B03A49" w:rsidRPr="00652D04">
        <w:rPr>
          <w:lang w:val="fr-FR"/>
        </w:rPr>
        <w:t> </w:t>
      </w:r>
      <w:r w:rsidRPr="00652D04">
        <w:rPr>
          <w:lang w:val="fr-FR"/>
        </w:rPr>
        <w:t>9, étant entendu que</w:t>
      </w:r>
      <w:r w:rsidR="00B03A49" w:rsidRPr="00652D04">
        <w:rPr>
          <w:lang w:val="fr-FR"/>
        </w:rPr>
        <w:t> </w:t>
      </w:r>
      <w:r w:rsidRPr="00652D04">
        <w:rPr>
          <w:lang w:val="fr-FR"/>
        </w:rPr>
        <w:t>:</w:t>
      </w:r>
    </w:p>
    <w:p w:rsidR="000006CC" w:rsidRPr="00652D04" w:rsidRDefault="000006CC" w:rsidP="000006CC">
      <w:pPr>
        <w:pStyle w:val="ONUMFS"/>
        <w:numPr>
          <w:ilvl w:val="0"/>
          <w:numId w:val="0"/>
        </w:numPr>
        <w:ind w:left="567"/>
        <w:rPr>
          <w:lang w:val="fr-FR"/>
        </w:rPr>
      </w:pPr>
      <w:r w:rsidRPr="00652D04">
        <w:rPr>
          <w:lang w:val="fr-FR"/>
        </w:rPr>
        <w:t>a)</w:t>
      </w:r>
      <w:r w:rsidRPr="00652D04">
        <w:rPr>
          <w:lang w:val="fr-FR"/>
        </w:rPr>
        <w:tab/>
        <w:t xml:space="preserve">le Secrétariat réalisera une étude sur la question de la mobilité du personnel, </w:t>
      </w:r>
      <w:r w:rsidR="00D67156" w:rsidRPr="00652D04">
        <w:rPr>
          <w:lang w:val="fr-FR"/>
        </w:rPr>
        <w:t>y compris</w:t>
      </w:r>
      <w:r w:rsidRPr="00652D04">
        <w:rPr>
          <w:lang w:val="fr-FR"/>
        </w:rPr>
        <w:t xml:space="preserve"> un examen des autres types d</w:t>
      </w:r>
      <w:r w:rsidR="00D67156" w:rsidRPr="00652D04">
        <w:rPr>
          <w:lang w:val="fr-FR"/>
        </w:rPr>
        <w:t>’</w:t>
      </w:r>
      <w:r w:rsidRPr="00652D04">
        <w:rPr>
          <w:lang w:val="fr-FR"/>
        </w:rPr>
        <w:t>incitations utilisées pour promouvoir la mobilité des fonctionnaires de la catégorie des administrateu</w:t>
      </w:r>
      <w:r w:rsidR="00E70920" w:rsidRPr="00652D04">
        <w:rPr>
          <w:lang w:val="fr-FR"/>
        </w:rPr>
        <w:t>rs.  Ce</w:t>
      </w:r>
      <w:r w:rsidRPr="00652D04">
        <w:rPr>
          <w:lang w:val="fr-FR"/>
        </w:rPr>
        <w:t>tte étude sera présentée à la session de</w:t>
      </w:r>
      <w:r w:rsidR="00B03A49" w:rsidRPr="00652D04">
        <w:rPr>
          <w:lang w:val="fr-FR"/>
        </w:rPr>
        <w:t> </w:t>
      </w:r>
      <w:r w:rsidRPr="00652D04">
        <w:rPr>
          <w:lang w:val="fr-FR"/>
        </w:rPr>
        <w:t>2016 du Comité de coordination pour examen et décision sur le point de savoir s</w:t>
      </w:r>
      <w:r w:rsidR="00D67156" w:rsidRPr="00652D04">
        <w:rPr>
          <w:lang w:val="fr-FR"/>
        </w:rPr>
        <w:t>’</w:t>
      </w:r>
      <w:r w:rsidRPr="00652D04">
        <w:rPr>
          <w:lang w:val="fr-FR"/>
        </w:rPr>
        <w:t>il conviendra ou non d</w:t>
      </w:r>
      <w:r w:rsidR="00D67156" w:rsidRPr="00652D04">
        <w:rPr>
          <w:lang w:val="fr-FR"/>
        </w:rPr>
        <w:t>’</w:t>
      </w:r>
      <w:r w:rsidRPr="00652D04">
        <w:rPr>
          <w:lang w:val="fr-FR"/>
        </w:rPr>
        <w:t>approuver l</w:t>
      </w:r>
      <w:r w:rsidR="00D67156" w:rsidRPr="00652D04">
        <w:rPr>
          <w:lang w:val="fr-FR"/>
        </w:rPr>
        <w:t>’</w:t>
      </w:r>
      <w:r w:rsidRPr="00652D04">
        <w:rPr>
          <w:lang w:val="fr-FR"/>
        </w:rPr>
        <w:t>augmentation spéciale de traitement;  et</w:t>
      </w:r>
    </w:p>
    <w:p w:rsidR="00D67156" w:rsidRPr="00652D04" w:rsidRDefault="000006CC" w:rsidP="000006CC">
      <w:pPr>
        <w:pStyle w:val="ONUMFS"/>
        <w:numPr>
          <w:ilvl w:val="0"/>
          <w:numId w:val="0"/>
        </w:numPr>
        <w:ind w:left="567"/>
        <w:rPr>
          <w:lang w:val="fr-FR"/>
        </w:rPr>
      </w:pPr>
      <w:r w:rsidRPr="00652D04">
        <w:rPr>
          <w:lang w:val="fr-FR"/>
        </w:rPr>
        <w:t>b)</w:t>
      </w:r>
      <w:r w:rsidRPr="00652D04">
        <w:rPr>
          <w:lang w:val="fr-FR"/>
        </w:rPr>
        <w:tab/>
        <w:t>le Bureau du conseiller juridique présentera à la session de</w:t>
      </w:r>
      <w:r w:rsidR="00B03A49" w:rsidRPr="00652D04">
        <w:rPr>
          <w:lang w:val="fr-FR"/>
        </w:rPr>
        <w:t> </w:t>
      </w:r>
      <w:r w:rsidRPr="00652D04">
        <w:rPr>
          <w:lang w:val="fr-FR"/>
        </w:rPr>
        <w:t>2016 du Comité de coordination une analyse de la question des droits acquis des fonctionnaires eu égard à l</w:t>
      </w:r>
      <w:r w:rsidR="00D67156" w:rsidRPr="00652D04">
        <w:rPr>
          <w:lang w:val="fr-FR"/>
        </w:rPr>
        <w:t>’</w:t>
      </w:r>
      <w:r w:rsidRPr="00652D04">
        <w:rPr>
          <w:lang w:val="fr-FR"/>
        </w:rPr>
        <w:t>indemnité pour frais d</w:t>
      </w:r>
      <w:r w:rsidR="00D67156" w:rsidRPr="00652D04">
        <w:rPr>
          <w:lang w:val="fr-FR"/>
        </w:rPr>
        <w:t>’</w:t>
      </w:r>
      <w:r w:rsidRPr="00652D04">
        <w:rPr>
          <w:lang w:val="fr-FR"/>
        </w:rPr>
        <w:t>études, conjointement avec des informations pertinentes sur son incidence financière, aux fins d</w:t>
      </w:r>
      <w:r w:rsidR="00D67156" w:rsidRPr="00652D04">
        <w:rPr>
          <w:lang w:val="fr-FR"/>
        </w:rPr>
        <w:t>’</w:t>
      </w:r>
      <w:r w:rsidRPr="00652D04">
        <w:rPr>
          <w:lang w:val="fr-FR"/>
        </w:rPr>
        <w:t>une décision du comité sur le point de savoir s</w:t>
      </w:r>
      <w:r w:rsidR="00D67156" w:rsidRPr="00652D04">
        <w:rPr>
          <w:lang w:val="fr-FR"/>
        </w:rPr>
        <w:t>’</w:t>
      </w:r>
      <w:r w:rsidRPr="00652D04">
        <w:rPr>
          <w:lang w:val="fr-FR"/>
        </w:rPr>
        <w:t>il conviendra de maintenir ou de supprimer le nouvel article</w:t>
      </w:r>
      <w:r w:rsidR="00B03A49" w:rsidRPr="00652D04">
        <w:rPr>
          <w:lang w:val="fr-FR"/>
        </w:rPr>
        <w:t> </w:t>
      </w:r>
      <w:r w:rsidRPr="00652D04">
        <w:rPr>
          <w:lang w:val="fr-FR"/>
        </w:rPr>
        <w:t>3.14.f) du Statut du personnel relatif aux frais d</w:t>
      </w:r>
      <w:r w:rsidR="00D67156" w:rsidRPr="00652D04">
        <w:rPr>
          <w:lang w:val="fr-FR"/>
        </w:rPr>
        <w:t>’</w:t>
      </w:r>
      <w:r w:rsidRPr="00652D04">
        <w:rPr>
          <w:lang w:val="fr-FR"/>
        </w:rPr>
        <w:t>études;</w:t>
      </w:r>
    </w:p>
    <w:p w:rsidR="00D67156" w:rsidRPr="00652D04" w:rsidRDefault="000006CC" w:rsidP="000006CC">
      <w:pPr>
        <w:pStyle w:val="ONUMFS"/>
        <w:numPr>
          <w:ilvl w:val="0"/>
          <w:numId w:val="0"/>
        </w:numPr>
        <w:rPr>
          <w:lang w:val="fr-FR"/>
        </w:rPr>
      </w:pPr>
      <w:r w:rsidRPr="00652D04">
        <w:rPr>
          <w:lang w:val="fr-FR"/>
        </w:rPr>
        <w:t>ii)</w:t>
      </w:r>
      <w:r w:rsidRPr="00652D04">
        <w:rPr>
          <w:lang w:val="fr-FR"/>
        </w:rPr>
        <w:tab/>
        <w:t>a pris note des amendements du Règlement du personnel indiqués en détail à l</w:t>
      </w:r>
      <w:r w:rsidR="00D67156" w:rsidRPr="00652D04">
        <w:rPr>
          <w:lang w:val="fr-FR"/>
        </w:rPr>
        <w:t>’</w:t>
      </w:r>
      <w:r w:rsidRPr="00652D04">
        <w:rPr>
          <w:lang w:val="fr-FR"/>
        </w:rPr>
        <w:t>annexe</w:t>
      </w:r>
      <w:r w:rsidR="00B03A49" w:rsidRPr="00652D04">
        <w:rPr>
          <w:lang w:val="fr-FR"/>
        </w:rPr>
        <w:t> </w:t>
      </w:r>
      <w:r w:rsidRPr="00652D04">
        <w:rPr>
          <w:lang w:val="fr-FR"/>
        </w:rPr>
        <w:t>II;  et</w:t>
      </w:r>
    </w:p>
    <w:p w:rsidR="00D67156" w:rsidRPr="00652D04" w:rsidRDefault="000006CC" w:rsidP="000006CC">
      <w:pPr>
        <w:pStyle w:val="ONUMFS"/>
        <w:numPr>
          <w:ilvl w:val="0"/>
          <w:numId w:val="0"/>
        </w:numPr>
        <w:rPr>
          <w:lang w:val="fr-FR"/>
        </w:rPr>
      </w:pPr>
      <w:r w:rsidRPr="00652D04">
        <w:rPr>
          <w:lang w:val="fr-FR"/>
        </w:rPr>
        <w:t>iii)</w:t>
      </w:r>
      <w:r w:rsidRPr="00652D04">
        <w:rPr>
          <w:lang w:val="fr-FR"/>
        </w:rPr>
        <w:tab/>
        <w:t>a pris note des amendements du Règlement du personnel indiqués en détail à l</w:t>
      </w:r>
      <w:r w:rsidR="00D67156" w:rsidRPr="00652D04">
        <w:rPr>
          <w:lang w:val="fr-FR"/>
        </w:rPr>
        <w:t>’</w:t>
      </w:r>
      <w:r w:rsidRPr="00652D04">
        <w:rPr>
          <w:lang w:val="fr-FR"/>
        </w:rPr>
        <w:t>annexe</w:t>
      </w:r>
      <w:r w:rsidR="00B03A49" w:rsidRPr="00652D04">
        <w:rPr>
          <w:lang w:val="fr-FR"/>
        </w:rPr>
        <w:t> </w:t>
      </w:r>
      <w:r w:rsidRPr="00652D04">
        <w:rPr>
          <w:lang w:val="fr-FR"/>
        </w:rPr>
        <w:t>III et a invité le Directeur général à envisager une réduction de la durée pendant laquelle les candidats qui sont recommandés par un comité des nominations mais qui ne sont pas nommés peuvent être inscrits sur une liste de réserve.</w:t>
      </w:r>
    </w:p>
    <w:p w:rsidR="000006CC" w:rsidRPr="00652D04" w:rsidRDefault="000006CC" w:rsidP="000006CC">
      <w:pPr>
        <w:pStyle w:val="Heading2"/>
        <w:rPr>
          <w:lang w:val="fr-FR"/>
        </w:rPr>
      </w:pPr>
      <w:r w:rsidRPr="00652D04">
        <w:rPr>
          <w:lang w:val="fr-FR"/>
        </w:rPr>
        <w:lastRenderedPageBreak/>
        <w:t>Point</w:t>
      </w:r>
      <w:r w:rsidR="00B03A49" w:rsidRPr="00652D04">
        <w:rPr>
          <w:lang w:val="fr-FR"/>
        </w:rPr>
        <w:t> </w:t>
      </w:r>
      <w:r w:rsidRPr="00652D04">
        <w:rPr>
          <w:lang w:val="fr-FR"/>
        </w:rPr>
        <w:t>30 de l</w:t>
      </w:r>
      <w:r w:rsidR="00D67156" w:rsidRPr="00652D04">
        <w:rPr>
          <w:lang w:val="fr-FR"/>
        </w:rPr>
        <w:t>’</w:t>
      </w:r>
      <w:r w:rsidRPr="00652D04">
        <w:rPr>
          <w:lang w:val="fr-FR"/>
        </w:rPr>
        <w:t>ordre du jour unifié</w:t>
      </w:r>
    </w:p>
    <w:p w:rsidR="000006CC" w:rsidRPr="00652D04" w:rsidRDefault="000006CC" w:rsidP="000006CC">
      <w:pPr>
        <w:pStyle w:val="Heading2"/>
        <w:rPr>
          <w:lang w:val="fr-FR"/>
        </w:rPr>
      </w:pPr>
      <w:r w:rsidRPr="00652D04">
        <w:rPr>
          <w:lang w:val="fr-FR"/>
        </w:rPr>
        <w:t>Désignation du président et du vice</w:t>
      </w:r>
      <w:r w:rsidR="00E70920" w:rsidRPr="00652D04">
        <w:rPr>
          <w:lang w:val="fr-FR"/>
        </w:rPr>
        <w:noBreakHyphen/>
      </w:r>
      <w:r w:rsidRPr="00652D04">
        <w:rPr>
          <w:lang w:val="fr-FR"/>
        </w:rPr>
        <w:t>président du Comité d</w:t>
      </w:r>
      <w:r w:rsidR="00D67156" w:rsidRPr="00652D04">
        <w:rPr>
          <w:lang w:val="fr-FR"/>
        </w:rPr>
        <w:t>’</w:t>
      </w:r>
      <w:r w:rsidRPr="00652D04">
        <w:rPr>
          <w:lang w:val="fr-FR"/>
        </w:rPr>
        <w:t>appel de l</w:t>
      </w:r>
      <w:r w:rsidR="00D67156" w:rsidRPr="00652D04">
        <w:rPr>
          <w:lang w:val="fr-FR"/>
        </w:rPr>
        <w:t>’</w:t>
      </w:r>
      <w:r w:rsidRPr="00652D04">
        <w:rPr>
          <w:lang w:val="fr-FR"/>
        </w:rPr>
        <w:t>OMPI</w:t>
      </w:r>
    </w:p>
    <w:p w:rsidR="000006CC" w:rsidRPr="00652D04" w:rsidRDefault="000006CC" w:rsidP="00412B7F">
      <w:pPr>
        <w:rPr>
          <w:lang w:val="fr-FR"/>
        </w:rPr>
      </w:pPr>
    </w:p>
    <w:p w:rsidR="000006CC" w:rsidRPr="00652D04" w:rsidRDefault="000006CC" w:rsidP="000006CC">
      <w:pPr>
        <w:pStyle w:val="ONUMFS"/>
        <w:numPr>
          <w:ilvl w:val="0"/>
          <w:numId w:val="0"/>
        </w:numPr>
        <w:rPr>
          <w:lang w:val="fr-FR"/>
        </w:rPr>
      </w:pPr>
      <w:r w:rsidRPr="00652D04">
        <w:rPr>
          <w:lang w:val="fr-FR"/>
        </w:rPr>
        <w:t>Le Comité de coordination de l</w:t>
      </w:r>
      <w:r w:rsidR="00D67156" w:rsidRPr="00652D04">
        <w:rPr>
          <w:lang w:val="fr-FR"/>
        </w:rPr>
        <w:t>’</w:t>
      </w:r>
      <w:r w:rsidRPr="00652D04">
        <w:rPr>
          <w:lang w:val="fr-FR"/>
        </w:rPr>
        <w:t>OMPI</w:t>
      </w:r>
    </w:p>
    <w:p w:rsidR="000006CC" w:rsidRPr="00652D04" w:rsidRDefault="000006CC" w:rsidP="000006CC">
      <w:pPr>
        <w:pStyle w:val="ONUMFS"/>
        <w:numPr>
          <w:ilvl w:val="0"/>
          <w:numId w:val="0"/>
        </w:numPr>
        <w:rPr>
          <w:lang w:val="fr-FR"/>
        </w:rPr>
      </w:pPr>
      <w:r w:rsidRPr="00652D04">
        <w:rPr>
          <w:lang w:val="fr-FR"/>
        </w:rPr>
        <w:t>i)</w:t>
      </w:r>
      <w:r w:rsidRPr="00652D04">
        <w:rPr>
          <w:lang w:val="fr-FR"/>
        </w:rPr>
        <w:tab/>
        <w:t>a désigné M.</w:t>
      </w:r>
      <w:r w:rsidR="00B03A49" w:rsidRPr="00652D04">
        <w:rPr>
          <w:lang w:val="fr-FR"/>
        </w:rPr>
        <w:t> </w:t>
      </w:r>
      <w:r w:rsidR="00E70920" w:rsidRPr="00652D04">
        <w:rPr>
          <w:lang w:val="fr-FR"/>
        </w:rPr>
        <w:t>Norbert </w:t>
      </w:r>
      <w:proofErr w:type="spellStart"/>
      <w:r w:rsidRPr="00652D04">
        <w:rPr>
          <w:lang w:val="fr-FR"/>
        </w:rPr>
        <w:t>Wühler</w:t>
      </w:r>
      <w:proofErr w:type="spellEnd"/>
      <w:r w:rsidRPr="00652D04">
        <w:rPr>
          <w:lang w:val="fr-FR"/>
        </w:rPr>
        <w:t xml:space="preserve"> président du Comité d</w:t>
      </w:r>
      <w:r w:rsidR="00D67156" w:rsidRPr="00652D04">
        <w:rPr>
          <w:lang w:val="fr-FR"/>
        </w:rPr>
        <w:t>’</w:t>
      </w:r>
      <w:r w:rsidRPr="00652D04">
        <w:rPr>
          <w:lang w:val="fr-FR"/>
        </w:rPr>
        <w:t>appel de l</w:t>
      </w:r>
      <w:r w:rsidR="00D67156" w:rsidRPr="00652D04">
        <w:rPr>
          <w:lang w:val="fr-FR"/>
        </w:rPr>
        <w:t>’</w:t>
      </w:r>
      <w:r w:rsidRPr="00652D04">
        <w:rPr>
          <w:lang w:val="fr-FR"/>
        </w:rPr>
        <w:t>OMPI pour un mandat de cinq</w:t>
      </w:r>
      <w:r w:rsidR="00B03A49" w:rsidRPr="00652D04">
        <w:rPr>
          <w:lang w:val="fr-FR"/>
        </w:rPr>
        <w:t> </w:t>
      </w:r>
      <w:r w:rsidRPr="00652D04">
        <w:rPr>
          <w:lang w:val="fr-FR"/>
        </w:rPr>
        <w:t>ans à compter de la date de cette désignation</w:t>
      </w:r>
      <w:r w:rsidR="003F309F" w:rsidRPr="00652D04">
        <w:rPr>
          <w:lang w:val="fr-FR"/>
        </w:rPr>
        <w:t>,</w:t>
      </w:r>
      <w:r w:rsidRPr="00652D04">
        <w:rPr>
          <w:lang w:val="fr-FR"/>
        </w:rPr>
        <w:t xml:space="preserve"> et</w:t>
      </w:r>
    </w:p>
    <w:p w:rsidR="000006CC" w:rsidRPr="00652D04" w:rsidRDefault="000006CC" w:rsidP="000006CC">
      <w:pPr>
        <w:pStyle w:val="ONUMFS"/>
        <w:numPr>
          <w:ilvl w:val="0"/>
          <w:numId w:val="0"/>
        </w:numPr>
        <w:rPr>
          <w:lang w:val="fr-FR"/>
        </w:rPr>
      </w:pPr>
      <w:r w:rsidRPr="00652D04">
        <w:rPr>
          <w:lang w:val="fr-FR"/>
        </w:rPr>
        <w:t>ii)</w:t>
      </w:r>
      <w:r w:rsidRPr="00652D04">
        <w:rPr>
          <w:lang w:val="fr-FR"/>
        </w:rPr>
        <w:tab/>
        <w:t>a désigné M.</w:t>
      </w:r>
      <w:r w:rsidR="00B03A49" w:rsidRPr="00652D04">
        <w:rPr>
          <w:lang w:val="fr-FR"/>
        </w:rPr>
        <w:t> </w:t>
      </w:r>
      <w:r w:rsidR="00E70920" w:rsidRPr="00652D04">
        <w:rPr>
          <w:lang w:val="fr-FR"/>
        </w:rPr>
        <w:t>Michael </w:t>
      </w:r>
      <w:r w:rsidRPr="00652D04">
        <w:rPr>
          <w:lang w:val="fr-FR"/>
        </w:rPr>
        <w:t>Bartolo vice</w:t>
      </w:r>
      <w:r w:rsidR="00E70920" w:rsidRPr="00652D04">
        <w:rPr>
          <w:lang w:val="fr-FR"/>
        </w:rPr>
        <w:noBreakHyphen/>
      </w:r>
      <w:r w:rsidRPr="00652D04">
        <w:rPr>
          <w:lang w:val="fr-FR"/>
        </w:rPr>
        <w:t>président du Comité d</w:t>
      </w:r>
      <w:r w:rsidR="00D67156" w:rsidRPr="00652D04">
        <w:rPr>
          <w:lang w:val="fr-FR"/>
        </w:rPr>
        <w:t>’</w:t>
      </w:r>
      <w:r w:rsidRPr="00652D04">
        <w:rPr>
          <w:lang w:val="fr-FR"/>
        </w:rPr>
        <w:t>appel de l</w:t>
      </w:r>
      <w:r w:rsidR="00D67156" w:rsidRPr="00652D04">
        <w:rPr>
          <w:lang w:val="fr-FR"/>
        </w:rPr>
        <w:t>’</w:t>
      </w:r>
      <w:r w:rsidRPr="00652D04">
        <w:rPr>
          <w:lang w:val="fr-FR"/>
        </w:rPr>
        <w:t>OMPI pour un mandat de cinq</w:t>
      </w:r>
      <w:r w:rsidR="00B03A49" w:rsidRPr="00652D04">
        <w:rPr>
          <w:lang w:val="fr-FR"/>
        </w:rPr>
        <w:t> </w:t>
      </w:r>
      <w:r w:rsidRPr="00652D04">
        <w:rPr>
          <w:lang w:val="fr-FR"/>
        </w:rPr>
        <w:t>ans à compter de la date de cette désignation.</w:t>
      </w:r>
    </w:p>
    <w:p w:rsidR="000006CC" w:rsidRPr="00652D04" w:rsidRDefault="000006CC" w:rsidP="00890EAC">
      <w:pPr>
        <w:pStyle w:val="Heading2"/>
        <w:keepLines/>
        <w:rPr>
          <w:lang w:val="fr-FR"/>
        </w:rPr>
      </w:pPr>
      <w:r w:rsidRPr="00652D04">
        <w:rPr>
          <w:lang w:val="fr-FR"/>
        </w:rPr>
        <w:t>Point</w:t>
      </w:r>
      <w:r w:rsidR="00B03A49" w:rsidRPr="00652D04">
        <w:rPr>
          <w:lang w:val="fr-FR"/>
        </w:rPr>
        <w:t> </w:t>
      </w:r>
      <w:r w:rsidRPr="00652D04">
        <w:rPr>
          <w:lang w:val="fr-FR"/>
        </w:rPr>
        <w:t>31 de l</w:t>
      </w:r>
      <w:r w:rsidR="00D67156" w:rsidRPr="00652D04">
        <w:rPr>
          <w:lang w:val="fr-FR"/>
        </w:rPr>
        <w:t>’</w:t>
      </w:r>
      <w:r w:rsidRPr="00652D04">
        <w:rPr>
          <w:lang w:val="fr-FR"/>
        </w:rPr>
        <w:t>ordre du jour unifié</w:t>
      </w:r>
    </w:p>
    <w:p w:rsidR="000006CC" w:rsidRPr="00652D04" w:rsidRDefault="000006CC" w:rsidP="00890EAC">
      <w:pPr>
        <w:pStyle w:val="Heading2"/>
        <w:keepLines/>
        <w:rPr>
          <w:lang w:val="fr-FR"/>
        </w:rPr>
      </w:pPr>
      <w:r w:rsidRPr="00652D04">
        <w:rPr>
          <w:lang w:val="fr-FR"/>
        </w:rPr>
        <w:t>Adoption des rapports</w:t>
      </w:r>
    </w:p>
    <w:p w:rsidR="000006CC" w:rsidRPr="00652D04" w:rsidRDefault="000006CC" w:rsidP="00890EAC">
      <w:pPr>
        <w:keepNext/>
        <w:keepLines/>
        <w:rPr>
          <w:lang w:val="fr-FR"/>
        </w:rPr>
      </w:pPr>
    </w:p>
    <w:p w:rsidR="000006CC" w:rsidRPr="00652D04" w:rsidRDefault="00AA7CCA" w:rsidP="00890EAC">
      <w:pPr>
        <w:pStyle w:val="ONUMFS"/>
        <w:keepNext/>
        <w:keepLines/>
        <w:numPr>
          <w:ilvl w:val="0"/>
          <w:numId w:val="0"/>
        </w:numPr>
        <w:rPr>
          <w:lang w:val="fr-FR"/>
        </w:rPr>
      </w:pPr>
      <w:r w:rsidRPr="00652D04">
        <w:rPr>
          <w:lang w:val="fr-FR"/>
        </w:rPr>
        <w:t>Les assemblées des États membres de l</w:t>
      </w:r>
      <w:r w:rsidR="00D67156" w:rsidRPr="00652D04">
        <w:rPr>
          <w:lang w:val="fr-FR"/>
        </w:rPr>
        <w:t>’</w:t>
      </w:r>
      <w:r w:rsidRPr="00652D04">
        <w:rPr>
          <w:lang w:val="fr-FR"/>
        </w:rPr>
        <w:t>OMPI et des unions administrées par l</w:t>
      </w:r>
      <w:r w:rsidR="00D67156" w:rsidRPr="00652D04">
        <w:rPr>
          <w:lang w:val="fr-FR"/>
        </w:rPr>
        <w:t>’</w:t>
      </w:r>
      <w:r w:rsidRPr="00652D04">
        <w:rPr>
          <w:lang w:val="fr-FR"/>
        </w:rPr>
        <w:t>OMPI, chacune pour ce qui la concerne</w:t>
      </w:r>
      <w:r w:rsidR="005816D8" w:rsidRPr="00652D04">
        <w:rPr>
          <w:lang w:val="fr-FR"/>
        </w:rPr>
        <w:t xml:space="preserve">, </w:t>
      </w:r>
      <w:r w:rsidR="00E0705A" w:rsidRPr="00652D04">
        <w:rPr>
          <w:lang w:val="fr-FR"/>
        </w:rPr>
        <w:t>ont prié le Secrétariat d</w:t>
      </w:r>
      <w:r w:rsidR="00D67156" w:rsidRPr="00652D04">
        <w:rPr>
          <w:lang w:val="fr-FR"/>
        </w:rPr>
        <w:t>’</w:t>
      </w:r>
      <w:r w:rsidR="00E0705A" w:rsidRPr="00652D04">
        <w:rPr>
          <w:lang w:val="fr-FR"/>
        </w:rPr>
        <w:t>établir les projets de rapports, de les publier sur le site</w:t>
      </w:r>
      <w:r w:rsidR="00B03A49" w:rsidRPr="00652D04">
        <w:rPr>
          <w:lang w:val="fr-FR"/>
        </w:rPr>
        <w:t> </w:t>
      </w:r>
      <w:r w:rsidR="00E0705A" w:rsidRPr="00652D04">
        <w:rPr>
          <w:lang w:val="fr-FR"/>
        </w:rPr>
        <w:t>Web de l</w:t>
      </w:r>
      <w:r w:rsidR="00D67156" w:rsidRPr="00652D04">
        <w:rPr>
          <w:lang w:val="fr-FR"/>
        </w:rPr>
        <w:t>’</w:t>
      </w:r>
      <w:r w:rsidR="00E0705A" w:rsidRPr="00652D04">
        <w:rPr>
          <w:lang w:val="fr-FR"/>
        </w:rPr>
        <w:t xml:space="preserve">OMPI et de les envoyer aux États membres pour le </w:t>
      </w:r>
      <w:r w:rsidR="00D67156" w:rsidRPr="00652D04">
        <w:rPr>
          <w:lang w:val="fr-FR"/>
        </w:rPr>
        <w:t>2 novembre 20</w:t>
      </w:r>
      <w:r w:rsidR="00E0705A" w:rsidRPr="00652D04">
        <w:rPr>
          <w:lang w:val="fr-FR"/>
        </w:rPr>
        <w:t>15 au plus ta</w:t>
      </w:r>
      <w:r w:rsidR="00E70920" w:rsidRPr="00652D04">
        <w:rPr>
          <w:lang w:val="fr-FR"/>
        </w:rPr>
        <w:t>rd.  Le</w:t>
      </w:r>
      <w:r w:rsidR="00E0705A" w:rsidRPr="00652D04">
        <w:rPr>
          <w:lang w:val="fr-FR"/>
        </w:rPr>
        <w:t xml:space="preserve">s commentaires sont à envoyer au Secrétariat le </w:t>
      </w:r>
      <w:r w:rsidR="00D67156" w:rsidRPr="00652D04">
        <w:rPr>
          <w:lang w:val="fr-FR"/>
        </w:rPr>
        <w:t>4 janvier 20</w:t>
      </w:r>
      <w:r w:rsidR="00E0705A" w:rsidRPr="00652D04">
        <w:rPr>
          <w:lang w:val="fr-FR"/>
        </w:rPr>
        <w:t xml:space="preserve">16 au plus tard, après quoi les rapports finals seront réputés </w:t>
      </w:r>
      <w:r w:rsidR="002748FF" w:rsidRPr="00652D04">
        <w:rPr>
          <w:lang w:val="fr-FR"/>
        </w:rPr>
        <w:t xml:space="preserve">adoptés </w:t>
      </w:r>
      <w:r w:rsidR="00E0705A" w:rsidRPr="00652D04">
        <w:rPr>
          <w:lang w:val="fr-FR"/>
        </w:rPr>
        <w:t xml:space="preserve">le </w:t>
      </w:r>
      <w:r w:rsidR="00D67156" w:rsidRPr="00652D04">
        <w:rPr>
          <w:lang w:val="fr-FR"/>
        </w:rPr>
        <w:t>5 février 20</w:t>
      </w:r>
      <w:r w:rsidR="00E0705A" w:rsidRPr="00652D04">
        <w:rPr>
          <w:lang w:val="fr-FR"/>
        </w:rPr>
        <w:t>16</w:t>
      </w:r>
      <w:r w:rsidR="00A36934" w:rsidRPr="00652D04">
        <w:rPr>
          <w:lang w:val="fr-FR"/>
        </w:rPr>
        <w:t>.</w:t>
      </w:r>
    </w:p>
    <w:p w:rsidR="000006CC" w:rsidRPr="00652D04" w:rsidRDefault="000006CC" w:rsidP="000006CC">
      <w:pPr>
        <w:pStyle w:val="Heading2"/>
        <w:rPr>
          <w:lang w:val="fr-FR"/>
        </w:rPr>
      </w:pPr>
      <w:r w:rsidRPr="00652D04">
        <w:rPr>
          <w:lang w:val="fr-FR"/>
        </w:rPr>
        <w:t>Point</w:t>
      </w:r>
      <w:r w:rsidR="00B03A49" w:rsidRPr="00652D04">
        <w:rPr>
          <w:lang w:val="fr-FR"/>
        </w:rPr>
        <w:t> </w:t>
      </w:r>
      <w:r w:rsidRPr="00652D04">
        <w:rPr>
          <w:lang w:val="fr-FR"/>
        </w:rPr>
        <w:t>32 de l</w:t>
      </w:r>
      <w:r w:rsidR="00D67156" w:rsidRPr="00652D04">
        <w:rPr>
          <w:lang w:val="fr-FR"/>
        </w:rPr>
        <w:t>’</w:t>
      </w:r>
      <w:r w:rsidRPr="00652D04">
        <w:rPr>
          <w:lang w:val="fr-FR"/>
        </w:rPr>
        <w:t>ordre du jour unifié</w:t>
      </w:r>
    </w:p>
    <w:p w:rsidR="000006CC" w:rsidRPr="00652D04" w:rsidRDefault="000006CC" w:rsidP="000006CC">
      <w:pPr>
        <w:pStyle w:val="Heading2"/>
        <w:rPr>
          <w:lang w:val="fr-FR"/>
        </w:rPr>
      </w:pPr>
      <w:r w:rsidRPr="00652D04">
        <w:rPr>
          <w:lang w:val="fr-FR"/>
        </w:rPr>
        <w:t>Clôture des sessions</w:t>
      </w:r>
    </w:p>
    <w:p w:rsidR="000006CC" w:rsidRPr="00652D04" w:rsidRDefault="000006CC" w:rsidP="00412B7F">
      <w:pPr>
        <w:rPr>
          <w:lang w:val="fr-FR"/>
        </w:rPr>
      </w:pPr>
    </w:p>
    <w:p w:rsidR="000006CC" w:rsidRPr="00652D04" w:rsidRDefault="00E0705A" w:rsidP="00B37165">
      <w:pPr>
        <w:pStyle w:val="ONUMFS"/>
        <w:numPr>
          <w:ilvl w:val="0"/>
          <w:numId w:val="0"/>
        </w:numPr>
        <w:rPr>
          <w:lang w:val="fr-FR"/>
        </w:rPr>
      </w:pPr>
      <w:r w:rsidRPr="00652D04">
        <w:rPr>
          <w:lang w:val="fr-FR"/>
        </w:rPr>
        <w:t>Le président de l</w:t>
      </w:r>
      <w:r w:rsidR="00D67156" w:rsidRPr="00652D04">
        <w:rPr>
          <w:lang w:val="fr-FR"/>
        </w:rPr>
        <w:t>’</w:t>
      </w:r>
      <w:r w:rsidRPr="00652D04">
        <w:rPr>
          <w:lang w:val="fr-FR"/>
        </w:rPr>
        <w:t>Assemblée générale de l</w:t>
      </w:r>
      <w:r w:rsidR="00D67156" w:rsidRPr="00652D04">
        <w:rPr>
          <w:lang w:val="fr-FR"/>
        </w:rPr>
        <w:t>’</w:t>
      </w:r>
      <w:r w:rsidRPr="00652D04">
        <w:rPr>
          <w:lang w:val="fr-FR"/>
        </w:rPr>
        <w:t>OMPI a prononcé la clôture de la cinquante</w:t>
      </w:r>
      <w:r w:rsidR="00E70920" w:rsidRPr="00652D04">
        <w:rPr>
          <w:lang w:val="fr-FR"/>
        </w:rPr>
        <w:noBreakHyphen/>
      </w:r>
      <w:r w:rsidRPr="00652D04">
        <w:rPr>
          <w:lang w:val="fr-FR"/>
        </w:rPr>
        <w:t xml:space="preserve">cinquième série de réunions des assemblées </w:t>
      </w:r>
      <w:r w:rsidR="00AA7CCA" w:rsidRPr="00652D04">
        <w:rPr>
          <w:lang w:val="fr-FR"/>
        </w:rPr>
        <w:t>et autres organes des États membres de l</w:t>
      </w:r>
      <w:r w:rsidR="00D67156" w:rsidRPr="00652D04">
        <w:rPr>
          <w:lang w:val="fr-FR"/>
        </w:rPr>
        <w:t>’</w:t>
      </w:r>
      <w:r w:rsidR="00AA7CCA" w:rsidRPr="00652D04">
        <w:rPr>
          <w:lang w:val="fr-FR"/>
        </w:rPr>
        <w:t>OMPI</w:t>
      </w:r>
      <w:r w:rsidR="0022669F" w:rsidRPr="00652D04">
        <w:rPr>
          <w:lang w:val="fr-FR"/>
        </w:rPr>
        <w:t>.</w:t>
      </w:r>
    </w:p>
    <w:p w:rsidR="000006CC" w:rsidRPr="00652D04" w:rsidRDefault="000006CC" w:rsidP="00412B7F">
      <w:pPr>
        <w:rPr>
          <w:lang w:val="fr-FR"/>
        </w:rPr>
      </w:pPr>
    </w:p>
    <w:p w:rsidR="000006CC" w:rsidRPr="00652D04" w:rsidRDefault="000006CC" w:rsidP="00412B7F">
      <w:pPr>
        <w:rPr>
          <w:lang w:val="fr-FR"/>
        </w:rPr>
      </w:pPr>
    </w:p>
    <w:p w:rsidR="000006CC" w:rsidRPr="00652D04" w:rsidRDefault="00412B7F">
      <w:pPr>
        <w:pStyle w:val="Endofdocument-Annex"/>
        <w:rPr>
          <w:lang w:val="fr-FR"/>
        </w:rPr>
      </w:pPr>
      <w:r w:rsidRPr="00652D04">
        <w:rPr>
          <w:lang w:val="fr-FR"/>
        </w:rPr>
        <w:t>[Fin du document]</w:t>
      </w:r>
    </w:p>
    <w:p w:rsidR="00412B7F" w:rsidRPr="00652D04" w:rsidRDefault="00412B7F">
      <w:pPr>
        <w:pStyle w:val="Endofdocument-Annex"/>
        <w:rPr>
          <w:lang w:val="fr-FR"/>
        </w:rPr>
      </w:pPr>
    </w:p>
    <w:sectPr w:rsidR="00412B7F" w:rsidRPr="00652D04" w:rsidSect="00D67156">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56" w:rsidRDefault="00816E56">
      <w:r>
        <w:separator/>
      </w:r>
    </w:p>
  </w:endnote>
  <w:endnote w:type="continuationSeparator" w:id="0">
    <w:p w:rsidR="00816E56" w:rsidRDefault="00816E56" w:rsidP="003B38C1">
      <w:r>
        <w:separator/>
      </w:r>
    </w:p>
    <w:p w:rsidR="00816E56" w:rsidRPr="003B38C1" w:rsidRDefault="00816E56" w:rsidP="003B38C1">
      <w:pPr>
        <w:spacing w:after="60"/>
        <w:rPr>
          <w:sz w:val="17"/>
        </w:rPr>
      </w:pPr>
      <w:r>
        <w:rPr>
          <w:sz w:val="17"/>
        </w:rPr>
        <w:t>[Endnote continued from previous page]</w:t>
      </w:r>
    </w:p>
  </w:endnote>
  <w:endnote w:type="continuationNotice" w:id="1">
    <w:p w:rsidR="00816E56" w:rsidRPr="003B38C1" w:rsidRDefault="00816E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56" w:rsidRDefault="00816E56" w:rsidP="00D67156">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1849A1">
      <w:rPr>
        <w:noProof/>
        <w:sz w:val="16"/>
      </w:rPr>
      <w:t>n:\appgb\2015_a_55\documents final\a_55_inf\f\a_55_inf_11_f_final.docx</w:t>
    </w:r>
    <w:r>
      <w:rPr>
        <w:sz w:val="16"/>
      </w:rPr>
      <w:fldChar w:fldCharType="end"/>
    </w:r>
    <w:r>
      <w:rPr>
        <w:sz w:val="16"/>
      </w:rPr>
      <w:t xml:space="preserve"> </w:t>
    </w:r>
    <w:r>
      <w:rPr>
        <w:sz w:val="16"/>
      </w:rPr>
      <w:tab/>
      <w:t>(SC/MP/</w:t>
    </w:r>
    <w:proofErr w:type="spellStart"/>
    <w:r>
      <w:rPr>
        <w:sz w:val="16"/>
      </w:rPr>
      <w:t>sc</w:t>
    </w:r>
    <w:proofErr w:type="spellEnd"/>
    <w:r>
      <w:rPr>
        <w:sz w:val="16"/>
      </w:rPr>
      <w:t>/</w:t>
    </w:r>
    <w:proofErr w:type="spellStart"/>
    <w:r>
      <w:rPr>
        <w:sz w:val="16"/>
      </w:rPr>
      <w:t>ko</w:t>
    </w:r>
    <w:proofErr w:type="spellEnd"/>
    <w:r>
      <w:rPr>
        <w:sz w:val="16"/>
      </w:rPr>
      <w:t>/</w:t>
    </w:r>
    <w:r>
      <w:rPr>
        <w:sz w:val="16"/>
      </w:rPr>
      <w:fldChar w:fldCharType="begin"/>
    </w:r>
    <w:r>
      <w:rPr>
        <w:sz w:val="16"/>
      </w:rPr>
      <w:instrText xml:space="preserve"> DATE \@ "d-MMM-yy" </w:instrText>
    </w:r>
    <w:r>
      <w:rPr>
        <w:sz w:val="16"/>
      </w:rPr>
      <w:fldChar w:fldCharType="separate"/>
    </w:r>
    <w:r w:rsidR="001849A1">
      <w:rPr>
        <w:noProof/>
        <w:sz w:val="16"/>
      </w:rPr>
      <w:t>29-Oct-15</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1849A1">
      <w:rPr>
        <w:noProof/>
        <w:sz w:val="16"/>
      </w:rPr>
      <w:t>10:51</w:t>
    </w:r>
    <w:r>
      <w:rPr>
        <w:sz w:val="16"/>
      </w:rPr>
      <w:fldChar w:fldCharType="end"/>
    </w:r>
    <w:r>
      <w:rPr>
        <w:sz w:val="16"/>
      </w:rPr>
      <w:t>)</w:t>
    </w:r>
  </w:p>
  <w:p w:rsidR="00816E56" w:rsidRPr="00D67156" w:rsidRDefault="00816E56" w:rsidP="00D67156">
    <w:pPr>
      <w:pStyle w:val="Footer"/>
      <w:tabs>
        <w:tab w:val="clear" w:pos="4320"/>
        <w:tab w:val="clear" w:pos="8640"/>
        <w:tab w:val="right" w:pos="8504"/>
      </w:tabs>
      <w:jc w:val="center"/>
      <w:rPr>
        <w:rFonts w:ascii="Times New Roman" w:hAnsi="Times New Roman" w:cs="Times New Roman"/>
        <w:b/>
        <w:sz w:val="24"/>
      </w:rPr>
    </w:pPr>
    <w:r>
      <w:rPr>
        <w:rFonts w:ascii="Wingdings" w:hAnsi="Wingdings"/>
        <w:b/>
        <w:sz w:val="24"/>
      </w:rPr>
      <w:t></w:t>
    </w:r>
    <w:r>
      <w:rPr>
        <w:rFonts w:ascii="Times New Roman" w:hAnsi="Times New Roman" w:cs="Times New Roman"/>
        <w:b/>
        <w:sz w:val="24"/>
      </w:rPr>
      <w:t xml:space="preserve"> TO BE RENAMED BEFORE PRINTING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56" w:rsidRDefault="00816E56">
      <w:r>
        <w:separator/>
      </w:r>
    </w:p>
  </w:footnote>
  <w:footnote w:type="continuationSeparator" w:id="0">
    <w:p w:rsidR="00816E56" w:rsidRDefault="00816E56" w:rsidP="008B60B2">
      <w:r>
        <w:separator/>
      </w:r>
    </w:p>
    <w:p w:rsidR="00816E56" w:rsidRPr="00ED77FB" w:rsidRDefault="00816E56" w:rsidP="008B60B2">
      <w:pPr>
        <w:spacing w:after="60"/>
        <w:rPr>
          <w:sz w:val="17"/>
          <w:szCs w:val="17"/>
        </w:rPr>
      </w:pPr>
      <w:r w:rsidRPr="00ED77FB">
        <w:rPr>
          <w:sz w:val="17"/>
          <w:szCs w:val="17"/>
        </w:rPr>
        <w:t>[Footnote continued from previous page]</w:t>
      </w:r>
    </w:p>
  </w:footnote>
  <w:footnote w:type="continuationNotice" w:id="1">
    <w:p w:rsidR="00816E56" w:rsidRPr="00ED77FB" w:rsidRDefault="00816E56" w:rsidP="008B60B2">
      <w:pPr>
        <w:spacing w:before="60"/>
        <w:jc w:val="right"/>
        <w:rPr>
          <w:sz w:val="17"/>
          <w:szCs w:val="17"/>
        </w:rPr>
      </w:pPr>
      <w:r w:rsidRPr="00ED77FB">
        <w:rPr>
          <w:sz w:val="17"/>
          <w:szCs w:val="17"/>
        </w:rPr>
        <w:t>[Footnote continued on next page]</w:t>
      </w:r>
    </w:p>
  </w:footnote>
  <w:footnote w:id="2">
    <w:p w:rsidR="00816E56" w:rsidRPr="00652D04" w:rsidRDefault="00816E56">
      <w:pPr>
        <w:pStyle w:val="FootnoteText"/>
        <w:rPr>
          <w:lang w:val="fr-FR"/>
        </w:rPr>
      </w:pPr>
      <w:r w:rsidRPr="00652D04">
        <w:rPr>
          <w:rStyle w:val="FootnoteReference"/>
          <w:lang w:val="fr-FR"/>
        </w:rPr>
        <w:footnoteRef/>
      </w:r>
      <w:r w:rsidRPr="00652D04">
        <w:rPr>
          <w:lang w:val="fr-FR"/>
        </w:rPr>
        <w:t xml:space="preserve"> </w:t>
      </w:r>
      <w:r w:rsidRPr="00652D04">
        <w:rPr>
          <w:lang w:val="fr-FR"/>
        </w:rPr>
        <w:tab/>
        <w:t>Par exemple, la réception, la transmission, l’examen de forme, la recherche et l’examen quant au fond, le traitement, la publication, la cession ou le transfert de droits dans le cadre de licences, le renouvellement ou la conservation.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56" w:rsidRDefault="00816E56" w:rsidP="00477D6B">
    <w:pPr>
      <w:jc w:val="right"/>
    </w:pPr>
    <w:bookmarkStart w:id="5" w:name="Code2"/>
    <w:bookmarkEnd w:id="5"/>
    <w:r>
      <w:t>A/55/INF/11</w:t>
    </w:r>
  </w:p>
  <w:p w:rsidR="00816E56" w:rsidRDefault="00816E56" w:rsidP="00477D6B">
    <w:pPr>
      <w:jc w:val="right"/>
    </w:pPr>
    <w:proofErr w:type="gramStart"/>
    <w:r>
      <w:t>page</w:t>
    </w:r>
    <w:proofErr w:type="gramEnd"/>
    <w:r>
      <w:t xml:space="preserve"> </w:t>
    </w:r>
    <w:r>
      <w:fldChar w:fldCharType="begin"/>
    </w:r>
    <w:r>
      <w:instrText xml:space="preserve"> PAGE  \* MERGEFORMAT </w:instrText>
    </w:r>
    <w:r>
      <w:fldChar w:fldCharType="separate"/>
    </w:r>
    <w:r w:rsidR="001849A1">
      <w:rPr>
        <w:noProof/>
      </w:rPr>
      <w:t>21</w:t>
    </w:r>
    <w:r>
      <w:fldChar w:fldCharType="end"/>
    </w:r>
  </w:p>
  <w:p w:rsidR="00816E56" w:rsidRDefault="00816E5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E58F3"/>
    <w:multiLevelType w:val="hybridMultilevel"/>
    <w:tmpl w:val="5470D08A"/>
    <w:lvl w:ilvl="0" w:tplc="04AA58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0476F4"/>
    <w:multiLevelType w:val="hybridMultilevel"/>
    <w:tmpl w:val="A2C0311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701D44"/>
    <w:multiLevelType w:val="hybridMultilevel"/>
    <w:tmpl w:val="8A848710"/>
    <w:lvl w:ilvl="0" w:tplc="ADB45912">
      <w:start w:val="4"/>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22EB4ACF"/>
    <w:multiLevelType w:val="hybridMultilevel"/>
    <w:tmpl w:val="2480A28C"/>
    <w:lvl w:ilvl="0" w:tplc="6B786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11">
    <w:nsid w:val="35775255"/>
    <w:multiLevelType w:val="hybridMultilevel"/>
    <w:tmpl w:val="88AA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70CD2"/>
    <w:multiLevelType w:val="hybridMultilevel"/>
    <w:tmpl w:val="20FCE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E61AD"/>
    <w:multiLevelType w:val="multilevel"/>
    <w:tmpl w:val="F7F07C7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793C4A"/>
    <w:multiLevelType w:val="multilevel"/>
    <w:tmpl w:val="4F40CCB4"/>
    <w:lvl w:ilvl="0">
      <w:start w:val="1"/>
      <w:numFmt w:val="decimal"/>
      <w:lvlText w:val="%1."/>
      <w:lvlJc w:val="left"/>
      <w:pPr>
        <w:tabs>
          <w:tab w:val="left" w:pos="0"/>
        </w:tabs>
        <w:ind w:left="0" w:firstLine="0"/>
      </w:pPr>
      <w:rPr>
        <w:rFonts w:hint="default"/>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7">
    <w:nsid w:val="64AA270A"/>
    <w:multiLevelType w:val="hybridMultilevel"/>
    <w:tmpl w:val="3E3033F8"/>
    <w:lvl w:ilvl="0" w:tplc="A6A6B60A">
      <w:start w:val="3"/>
      <w:numFmt w:val="upperRoman"/>
      <w:lvlText w:val="%1."/>
      <w:lvlJc w:val="left"/>
      <w:pPr>
        <w:ind w:left="1080" w:hanging="720"/>
      </w:pPr>
      <w:rPr>
        <w:rFonts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B6808"/>
    <w:multiLevelType w:val="hybridMultilevel"/>
    <w:tmpl w:val="AD8E99A2"/>
    <w:lvl w:ilvl="0" w:tplc="A8B23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CB0AF9"/>
    <w:multiLevelType w:val="hybridMultilevel"/>
    <w:tmpl w:val="F7F07C76"/>
    <w:lvl w:ilvl="0" w:tplc="2A4AB8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4"/>
  </w:num>
  <w:num w:numId="5">
    <w:abstractNumId w:val="2"/>
  </w:num>
  <w:num w:numId="6">
    <w:abstractNumId w:val="6"/>
  </w:num>
  <w:num w:numId="7">
    <w:abstractNumId w:val="16"/>
  </w:num>
  <w:num w:numId="8">
    <w:abstractNumId w:val="10"/>
  </w:num>
  <w:num w:numId="9">
    <w:abstractNumId w:val="11"/>
  </w:num>
  <w:num w:numId="10">
    <w:abstractNumId w:val="7"/>
  </w:num>
  <w:num w:numId="11">
    <w:abstractNumId w:val="3"/>
  </w:num>
  <w:num w:numId="12">
    <w:abstractNumId w:val="18"/>
  </w:num>
  <w:num w:numId="13">
    <w:abstractNumId w:val="17"/>
  </w:num>
  <w:num w:numId="14">
    <w:abstractNumId w:val="1"/>
  </w:num>
  <w:num w:numId="15">
    <w:abstractNumId w:val="9"/>
  </w:num>
  <w:num w:numId="16">
    <w:abstractNumId w:val="19"/>
  </w:num>
  <w:num w:numId="17">
    <w:abstractNumId w:val="2"/>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5"/>
  </w:num>
  <w:num w:numId="19">
    <w:abstractNumId w:val="12"/>
  </w:num>
  <w:num w:numId="20">
    <w:abstractNumId w:val="2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ssemblées"/>
    <w:docVar w:name="TextBaseURL" w:val="empty"/>
    <w:docVar w:name="UILng" w:val="en"/>
  </w:docVars>
  <w:rsids>
    <w:rsidRoot w:val="00233C8D"/>
    <w:rsid w:val="000006CC"/>
    <w:rsid w:val="00004428"/>
    <w:rsid w:val="0002588C"/>
    <w:rsid w:val="00043CAA"/>
    <w:rsid w:val="00046033"/>
    <w:rsid w:val="00047F85"/>
    <w:rsid w:val="0007276A"/>
    <w:rsid w:val="00073272"/>
    <w:rsid w:val="00075432"/>
    <w:rsid w:val="000968ED"/>
    <w:rsid w:val="000B6D8D"/>
    <w:rsid w:val="000D78FD"/>
    <w:rsid w:val="000F5E56"/>
    <w:rsid w:val="0010148F"/>
    <w:rsid w:val="001036F6"/>
    <w:rsid w:val="001362EE"/>
    <w:rsid w:val="00147C76"/>
    <w:rsid w:val="0015773A"/>
    <w:rsid w:val="00165E8C"/>
    <w:rsid w:val="001832A6"/>
    <w:rsid w:val="001849A1"/>
    <w:rsid w:val="001869AF"/>
    <w:rsid w:val="001C1DFD"/>
    <w:rsid w:val="001E18DD"/>
    <w:rsid w:val="00203172"/>
    <w:rsid w:val="0021535D"/>
    <w:rsid w:val="002160A9"/>
    <w:rsid w:val="0022571E"/>
    <w:rsid w:val="0022669F"/>
    <w:rsid w:val="00233C8D"/>
    <w:rsid w:val="002552BB"/>
    <w:rsid w:val="002634C4"/>
    <w:rsid w:val="0027422B"/>
    <w:rsid w:val="002748FF"/>
    <w:rsid w:val="002928D3"/>
    <w:rsid w:val="002A15AA"/>
    <w:rsid w:val="002A1839"/>
    <w:rsid w:val="002A47C1"/>
    <w:rsid w:val="002D32A0"/>
    <w:rsid w:val="002F1FE6"/>
    <w:rsid w:val="002F4E68"/>
    <w:rsid w:val="00312F7F"/>
    <w:rsid w:val="003228B7"/>
    <w:rsid w:val="00342865"/>
    <w:rsid w:val="0035721F"/>
    <w:rsid w:val="003616C9"/>
    <w:rsid w:val="003673CF"/>
    <w:rsid w:val="00374137"/>
    <w:rsid w:val="003845C1"/>
    <w:rsid w:val="0039648E"/>
    <w:rsid w:val="003A39CB"/>
    <w:rsid w:val="003A41B1"/>
    <w:rsid w:val="003A6F89"/>
    <w:rsid w:val="003B38C1"/>
    <w:rsid w:val="003F309F"/>
    <w:rsid w:val="0040549F"/>
    <w:rsid w:val="00412B7F"/>
    <w:rsid w:val="00421208"/>
    <w:rsid w:val="00423E3E"/>
    <w:rsid w:val="00427AF4"/>
    <w:rsid w:val="00435845"/>
    <w:rsid w:val="004400E2"/>
    <w:rsid w:val="00441D60"/>
    <w:rsid w:val="004647DA"/>
    <w:rsid w:val="0046575C"/>
    <w:rsid w:val="00474062"/>
    <w:rsid w:val="00477D6B"/>
    <w:rsid w:val="0049710F"/>
    <w:rsid w:val="004E2F5B"/>
    <w:rsid w:val="0053057A"/>
    <w:rsid w:val="00534437"/>
    <w:rsid w:val="00560A29"/>
    <w:rsid w:val="00570CB7"/>
    <w:rsid w:val="005816D8"/>
    <w:rsid w:val="005D227C"/>
    <w:rsid w:val="005D2B4C"/>
    <w:rsid w:val="00605827"/>
    <w:rsid w:val="00621E5F"/>
    <w:rsid w:val="00646050"/>
    <w:rsid w:val="00652D04"/>
    <w:rsid w:val="006713CA"/>
    <w:rsid w:val="00676C5C"/>
    <w:rsid w:val="006B2576"/>
    <w:rsid w:val="006B3AAE"/>
    <w:rsid w:val="006B3B7E"/>
    <w:rsid w:val="006C5F8B"/>
    <w:rsid w:val="006D5388"/>
    <w:rsid w:val="006F0FC7"/>
    <w:rsid w:val="006F1445"/>
    <w:rsid w:val="006F5367"/>
    <w:rsid w:val="007058FB"/>
    <w:rsid w:val="00712DBE"/>
    <w:rsid w:val="00744726"/>
    <w:rsid w:val="0077597D"/>
    <w:rsid w:val="007857E9"/>
    <w:rsid w:val="0078746A"/>
    <w:rsid w:val="007B6A58"/>
    <w:rsid w:val="007B7CF9"/>
    <w:rsid w:val="007C5FF1"/>
    <w:rsid w:val="007D1613"/>
    <w:rsid w:val="007E0555"/>
    <w:rsid w:val="007E2C55"/>
    <w:rsid w:val="008069BD"/>
    <w:rsid w:val="00811466"/>
    <w:rsid w:val="00816E56"/>
    <w:rsid w:val="00834282"/>
    <w:rsid w:val="00865392"/>
    <w:rsid w:val="00885FE7"/>
    <w:rsid w:val="00890EAC"/>
    <w:rsid w:val="008A01B9"/>
    <w:rsid w:val="008A0F46"/>
    <w:rsid w:val="008A4727"/>
    <w:rsid w:val="008B096E"/>
    <w:rsid w:val="008B2CC1"/>
    <w:rsid w:val="008B60B2"/>
    <w:rsid w:val="008D7082"/>
    <w:rsid w:val="008E5D84"/>
    <w:rsid w:val="008F5666"/>
    <w:rsid w:val="0090731E"/>
    <w:rsid w:val="00916EE2"/>
    <w:rsid w:val="00966A22"/>
    <w:rsid w:val="0096722F"/>
    <w:rsid w:val="00973F5D"/>
    <w:rsid w:val="00980843"/>
    <w:rsid w:val="009817D3"/>
    <w:rsid w:val="009A0B8B"/>
    <w:rsid w:val="009D5A6B"/>
    <w:rsid w:val="009E2791"/>
    <w:rsid w:val="009E3F6F"/>
    <w:rsid w:val="009E5F37"/>
    <w:rsid w:val="009F499F"/>
    <w:rsid w:val="009F7A6F"/>
    <w:rsid w:val="00A04D72"/>
    <w:rsid w:val="00A26606"/>
    <w:rsid w:val="00A36934"/>
    <w:rsid w:val="00A42716"/>
    <w:rsid w:val="00A42DAF"/>
    <w:rsid w:val="00A43191"/>
    <w:rsid w:val="00A45BD8"/>
    <w:rsid w:val="00A4722B"/>
    <w:rsid w:val="00A60E7A"/>
    <w:rsid w:val="00A70460"/>
    <w:rsid w:val="00A77A7F"/>
    <w:rsid w:val="00A85B8E"/>
    <w:rsid w:val="00A86E35"/>
    <w:rsid w:val="00AA37E9"/>
    <w:rsid w:val="00AA6103"/>
    <w:rsid w:val="00AA7CCA"/>
    <w:rsid w:val="00AB49A0"/>
    <w:rsid w:val="00AC205C"/>
    <w:rsid w:val="00AC7D20"/>
    <w:rsid w:val="00AD137D"/>
    <w:rsid w:val="00AE0C71"/>
    <w:rsid w:val="00B03A49"/>
    <w:rsid w:val="00B05A69"/>
    <w:rsid w:val="00B11265"/>
    <w:rsid w:val="00B26E4B"/>
    <w:rsid w:val="00B37165"/>
    <w:rsid w:val="00B5291A"/>
    <w:rsid w:val="00B54E64"/>
    <w:rsid w:val="00B55A74"/>
    <w:rsid w:val="00B9734B"/>
    <w:rsid w:val="00BC700C"/>
    <w:rsid w:val="00BE33FC"/>
    <w:rsid w:val="00BE3AF1"/>
    <w:rsid w:val="00C11BFE"/>
    <w:rsid w:val="00C15BC4"/>
    <w:rsid w:val="00C47FFD"/>
    <w:rsid w:val="00C51022"/>
    <w:rsid w:val="00C52781"/>
    <w:rsid w:val="00C52FC7"/>
    <w:rsid w:val="00C9295C"/>
    <w:rsid w:val="00C94629"/>
    <w:rsid w:val="00CA6BB3"/>
    <w:rsid w:val="00CB4517"/>
    <w:rsid w:val="00CC0032"/>
    <w:rsid w:val="00CF7C05"/>
    <w:rsid w:val="00D015AB"/>
    <w:rsid w:val="00D17987"/>
    <w:rsid w:val="00D231AD"/>
    <w:rsid w:val="00D276E7"/>
    <w:rsid w:val="00D45252"/>
    <w:rsid w:val="00D67156"/>
    <w:rsid w:val="00D71B4D"/>
    <w:rsid w:val="00D80427"/>
    <w:rsid w:val="00D813B7"/>
    <w:rsid w:val="00D93D55"/>
    <w:rsid w:val="00D97EFC"/>
    <w:rsid w:val="00DD78D5"/>
    <w:rsid w:val="00DF31E8"/>
    <w:rsid w:val="00E0705A"/>
    <w:rsid w:val="00E125D5"/>
    <w:rsid w:val="00E16577"/>
    <w:rsid w:val="00E335FE"/>
    <w:rsid w:val="00E35087"/>
    <w:rsid w:val="00E43806"/>
    <w:rsid w:val="00E5021F"/>
    <w:rsid w:val="00E70920"/>
    <w:rsid w:val="00E94E79"/>
    <w:rsid w:val="00EA4378"/>
    <w:rsid w:val="00EC4E49"/>
    <w:rsid w:val="00ED77FB"/>
    <w:rsid w:val="00EF1086"/>
    <w:rsid w:val="00EF142A"/>
    <w:rsid w:val="00F021A6"/>
    <w:rsid w:val="00F126AC"/>
    <w:rsid w:val="00F425EF"/>
    <w:rsid w:val="00F42A68"/>
    <w:rsid w:val="00F66152"/>
    <w:rsid w:val="00F96A79"/>
    <w:rsid w:val="00FB22AC"/>
    <w:rsid w:val="00FE3401"/>
    <w:rsid w:val="00FE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9817D3"/>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D813B7"/>
    <w:rPr>
      <w:rFonts w:ascii="Arial" w:eastAsia="SimSun" w:hAnsi="Arial" w:cs="Arial"/>
      <w:sz w:val="22"/>
      <w:lang w:eastAsia="zh-CN"/>
    </w:rPr>
  </w:style>
  <w:style w:type="character" w:customStyle="1" w:styleId="EndnoteTextChar">
    <w:name w:val="Endnote Text Char"/>
    <w:basedOn w:val="DefaultParagraphFont"/>
    <w:link w:val="EndnoteText"/>
    <w:semiHidden/>
    <w:rsid w:val="00441D60"/>
    <w:rPr>
      <w:rFonts w:ascii="Arial" w:eastAsia="SimSun" w:hAnsi="Arial" w:cs="Arial"/>
      <w:sz w:val="18"/>
      <w:lang w:eastAsia="zh-CN"/>
    </w:rPr>
  </w:style>
  <w:style w:type="paragraph" w:customStyle="1" w:styleId="CharCharCharChar2">
    <w:name w:val="Char Char Char Char2"/>
    <w:basedOn w:val="Normal"/>
    <w:rsid w:val="00147C7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rsid w:val="00147C76"/>
    <w:rPr>
      <w:rFonts w:ascii="Arial" w:eastAsia="SimSun" w:hAnsi="Arial" w:cs="Arial"/>
      <w:sz w:val="22"/>
      <w:lang w:eastAsia="zh-CN"/>
    </w:rPr>
  </w:style>
  <w:style w:type="character" w:styleId="FootnoteReference">
    <w:name w:val="footnote reference"/>
    <w:uiPriority w:val="99"/>
    <w:rsid w:val="009E5F37"/>
    <w:rPr>
      <w:vertAlign w:val="superscript"/>
    </w:rPr>
  </w:style>
  <w:style w:type="paragraph" w:customStyle="1" w:styleId="CharCharCharChar1">
    <w:name w:val="Char Char Char Char1"/>
    <w:basedOn w:val="Normal"/>
    <w:rsid w:val="00C9295C"/>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7276A"/>
    <w:pPr>
      <w:ind w:left="720"/>
      <w:contextualSpacing/>
    </w:pPr>
  </w:style>
  <w:style w:type="table" w:styleId="TableGrid">
    <w:name w:val="Table Grid"/>
    <w:basedOn w:val="TableNormal"/>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C1DFD"/>
    <w:rPr>
      <w:rFonts w:ascii="Arial" w:eastAsia="SimSun" w:hAnsi="Arial" w:cs="Arial"/>
      <w:bCs/>
      <w:sz w:val="22"/>
      <w:szCs w:val="26"/>
      <w:u w:val="single"/>
      <w:lang w:eastAsia="zh-CN"/>
    </w:rPr>
  </w:style>
  <w:style w:type="paragraph" w:customStyle="1" w:styleId="Endofdocument">
    <w:name w:val="End of document"/>
    <w:basedOn w:val="BodyText"/>
    <w:next w:val="Endofdocument-Annex"/>
    <w:link w:val="EndofdocumentChar"/>
    <w:qFormat/>
    <w:rsid w:val="001C1DFD"/>
    <w:pPr>
      <w:tabs>
        <w:tab w:val="num" w:pos="567"/>
      </w:tabs>
    </w:pPr>
  </w:style>
  <w:style w:type="character" w:customStyle="1" w:styleId="EndofdocumentChar">
    <w:name w:val="End of document Char"/>
    <w:basedOn w:val="DefaultParagraphFont"/>
    <w:link w:val="Endofdocument"/>
    <w:rsid w:val="001C1DFD"/>
    <w:rPr>
      <w:rFonts w:ascii="Arial" w:eastAsia="SimSun" w:hAnsi="Arial" w:cs="Arial"/>
      <w:sz w:val="22"/>
      <w:lang w:eastAsia="zh-CN"/>
    </w:rPr>
  </w:style>
  <w:style w:type="character" w:styleId="Hyperlink">
    <w:name w:val="Hyperlink"/>
    <w:basedOn w:val="DefaultParagraphFont"/>
    <w:rsid w:val="00E70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9817D3"/>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D813B7"/>
    <w:rPr>
      <w:rFonts w:ascii="Arial" w:eastAsia="SimSun" w:hAnsi="Arial" w:cs="Arial"/>
      <w:sz w:val="22"/>
      <w:lang w:eastAsia="zh-CN"/>
    </w:rPr>
  </w:style>
  <w:style w:type="character" w:customStyle="1" w:styleId="EndnoteTextChar">
    <w:name w:val="Endnote Text Char"/>
    <w:basedOn w:val="DefaultParagraphFont"/>
    <w:link w:val="EndnoteText"/>
    <w:semiHidden/>
    <w:rsid w:val="00441D60"/>
    <w:rPr>
      <w:rFonts w:ascii="Arial" w:eastAsia="SimSun" w:hAnsi="Arial" w:cs="Arial"/>
      <w:sz w:val="18"/>
      <w:lang w:eastAsia="zh-CN"/>
    </w:rPr>
  </w:style>
  <w:style w:type="paragraph" w:customStyle="1" w:styleId="CharCharCharChar2">
    <w:name w:val="Char Char Char Char2"/>
    <w:basedOn w:val="Normal"/>
    <w:rsid w:val="00147C7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rsid w:val="00147C76"/>
    <w:rPr>
      <w:rFonts w:ascii="Arial" w:eastAsia="SimSun" w:hAnsi="Arial" w:cs="Arial"/>
      <w:sz w:val="22"/>
      <w:lang w:eastAsia="zh-CN"/>
    </w:rPr>
  </w:style>
  <w:style w:type="character" w:styleId="FootnoteReference">
    <w:name w:val="footnote reference"/>
    <w:uiPriority w:val="99"/>
    <w:rsid w:val="009E5F37"/>
    <w:rPr>
      <w:vertAlign w:val="superscript"/>
    </w:rPr>
  </w:style>
  <w:style w:type="paragraph" w:customStyle="1" w:styleId="CharCharCharChar1">
    <w:name w:val="Char Char Char Char1"/>
    <w:basedOn w:val="Normal"/>
    <w:rsid w:val="00C9295C"/>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7276A"/>
    <w:pPr>
      <w:ind w:left="720"/>
      <w:contextualSpacing/>
    </w:pPr>
  </w:style>
  <w:style w:type="table" w:styleId="TableGrid">
    <w:name w:val="Table Grid"/>
    <w:basedOn w:val="TableNormal"/>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C1DFD"/>
    <w:rPr>
      <w:rFonts w:ascii="Arial" w:eastAsia="SimSun" w:hAnsi="Arial" w:cs="Arial"/>
      <w:bCs/>
      <w:sz w:val="22"/>
      <w:szCs w:val="26"/>
      <w:u w:val="single"/>
      <w:lang w:eastAsia="zh-CN"/>
    </w:rPr>
  </w:style>
  <w:style w:type="paragraph" w:customStyle="1" w:styleId="Endofdocument">
    <w:name w:val="End of document"/>
    <w:basedOn w:val="BodyText"/>
    <w:next w:val="Endofdocument-Annex"/>
    <w:link w:val="EndofdocumentChar"/>
    <w:qFormat/>
    <w:rsid w:val="001C1DFD"/>
    <w:pPr>
      <w:tabs>
        <w:tab w:val="num" w:pos="567"/>
      </w:tabs>
    </w:pPr>
  </w:style>
  <w:style w:type="character" w:customStyle="1" w:styleId="EndofdocumentChar">
    <w:name w:val="End of document Char"/>
    <w:basedOn w:val="DefaultParagraphFont"/>
    <w:link w:val="Endofdocument"/>
    <w:rsid w:val="001C1DFD"/>
    <w:rPr>
      <w:rFonts w:ascii="Arial" w:eastAsia="SimSun" w:hAnsi="Arial" w:cs="Arial"/>
      <w:sz w:val="22"/>
      <w:lang w:eastAsia="zh-CN"/>
    </w:rPr>
  </w:style>
  <w:style w:type="character" w:styleId="Hyperlink">
    <w:name w:val="Hyperlink"/>
    <w:basedOn w:val="DefaultParagraphFont"/>
    <w:rsid w:val="00E70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86C0-0092-481D-BA90-B28ED39C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0</TotalTime>
  <Pages>21</Pages>
  <Words>8190</Words>
  <Characters>46252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54334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HÄFLIGER Patience</dc:creator>
  <cp:keywords>SC/MP/sc/ko</cp:keywords>
  <cp:lastModifiedBy>SANCHEZ Maria Margarita</cp:lastModifiedBy>
  <cp:revision>3</cp:revision>
  <cp:lastPrinted>2015-10-29T09:51:00Z</cp:lastPrinted>
  <dcterms:created xsi:type="dcterms:W3CDTF">2015-10-29T09:51:00Z</dcterms:created>
  <dcterms:modified xsi:type="dcterms:W3CDTF">2015-10-29T09:51:00Z</dcterms:modified>
</cp:coreProperties>
</file>