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B2D5" w14:textId="77777777" w:rsidR="008B2CC1" w:rsidRPr="00E94D44" w:rsidRDefault="0040540C" w:rsidP="00897816">
      <w:pPr>
        <w:pBdr>
          <w:bottom w:val="single" w:sz="4" w:space="11" w:color="auto"/>
        </w:pBdr>
        <w:spacing w:after="120"/>
        <w:jc w:val="right"/>
        <w:rPr>
          <w:lang w:val="fr-FR"/>
        </w:rPr>
      </w:pPr>
      <w:r w:rsidRPr="00E94D44">
        <w:rPr>
          <w:noProof/>
          <w:lang w:val="fr-FR" w:eastAsia="fr-CH"/>
        </w:rPr>
        <w:drawing>
          <wp:inline distT="0" distB="0" distL="0" distR="0" wp14:anchorId="75FBB0A1" wp14:editId="53B407A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47E9236" w14:textId="77777777" w:rsidR="00B1090C" w:rsidRPr="00E94D44" w:rsidRDefault="00897816" w:rsidP="0040540C">
      <w:pPr>
        <w:jc w:val="right"/>
        <w:rPr>
          <w:rFonts w:ascii="Arial Black" w:hAnsi="Arial Black"/>
          <w:caps/>
          <w:sz w:val="15"/>
          <w:lang w:val="fr-FR"/>
        </w:rPr>
      </w:pPr>
      <w:r w:rsidRPr="00E94D44">
        <w:rPr>
          <w:rFonts w:ascii="Arial Black" w:hAnsi="Arial Black"/>
          <w:caps/>
          <w:sz w:val="15"/>
          <w:lang w:val="fr-FR"/>
        </w:rPr>
        <w:t>CDIP/3</w:t>
      </w:r>
      <w:r w:rsidR="006E1EC4" w:rsidRPr="00E94D44">
        <w:rPr>
          <w:rFonts w:ascii="Arial Black" w:hAnsi="Arial Black"/>
          <w:caps/>
          <w:sz w:val="15"/>
          <w:lang w:val="fr-FR"/>
        </w:rPr>
        <w:t>2</w:t>
      </w:r>
      <w:r w:rsidRPr="00E94D44">
        <w:rPr>
          <w:rFonts w:ascii="Arial Black" w:hAnsi="Arial Black"/>
          <w:caps/>
          <w:sz w:val="15"/>
          <w:lang w:val="fr-FR"/>
        </w:rPr>
        <w:t>/</w:t>
      </w:r>
      <w:bookmarkStart w:id="0" w:name="Code"/>
      <w:bookmarkEnd w:id="0"/>
      <w:r w:rsidR="00FC142F" w:rsidRPr="00E94D44">
        <w:rPr>
          <w:rFonts w:ascii="Arial Black" w:hAnsi="Arial Black"/>
          <w:caps/>
          <w:sz w:val="15"/>
          <w:lang w:val="fr-FR"/>
        </w:rPr>
        <w:t>5</w:t>
      </w:r>
    </w:p>
    <w:p w14:paraId="46BBECC5" w14:textId="017D90B8" w:rsidR="008B2CC1" w:rsidRPr="00E94D44" w:rsidRDefault="00B1090C" w:rsidP="0040540C">
      <w:pPr>
        <w:jc w:val="right"/>
        <w:rPr>
          <w:lang w:val="fr-FR"/>
        </w:rPr>
      </w:pPr>
      <w:r w:rsidRPr="00E94D44">
        <w:rPr>
          <w:rFonts w:ascii="Arial Black" w:hAnsi="Arial Black"/>
          <w:caps/>
          <w:sz w:val="15"/>
          <w:lang w:val="fr-FR"/>
        </w:rPr>
        <w:t>ORIGINAL</w:t>
      </w:r>
      <w:r w:rsidR="00124AD9" w:rsidRPr="00E94D44">
        <w:rPr>
          <w:rFonts w:ascii="Arial Black" w:hAnsi="Arial Black"/>
          <w:caps/>
          <w:sz w:val="15"/>
          <w:lang w:val="fr-FR"/>
        </w:rPr>
        <w:t> :</w:t>
      </w:r>
      <w:r w:rsidR="002956DE" w:rsidRPr="00E94D44">
        <w:rPr>
          <w:rFonts w:ascii="Arial Black" w:hAnsi="Arial Black"/>
          <w:caps/>
          <w:sz w:val="15"/>
          <w:lang w:val="fr-FR"/>
        </w:rPr>
        <w:t xml:space="preserve"> </w:t>
      </w:r>
      <w:bookmarkStart w:id="1" w:name="Original"/>
      <w:r w:rsidR="00FC142F" w:rsidRPr="00E94D44">
        <w:rPr>
          <w:rFonts w:ascii="Arial Black" w:hAnsi="Arial Black"/>
          <w:caps/>
          <w:sz w:val="15"/>
          <w:lang w:val="fr-FR"/>
        </w:rPr>
        <w:t>anglais</w:t>
      </w:r>
    </w:p>
    <w:bookmarkEnd w:id="1"/>
    <w:p w14:paraId="32772286" w14:textId="3B46C6DB" w:rsidR="008B2CC1" w:rsidRPr="00E94D44" w:rsidRDefault="00B1090C" w:rsidP="00B1090C">
      <w:pPr>
        <w:spacing w:after="1200"/>
        <w:jc w:val="right"/>
        <w:rPr>
          <w:lang w:val="fr-FR"/>
        </w:rPr>
      </w:pPr>
      <w:r w:rsidRPr="00E94D44">
        <w:rPr>
          <w:rFonts w:ascii="Arial Black" w:hAnsi="Arial Black"/>
          <w:caps/>
          <w:sz w:val="15"/>
          <w:lang w:val="fr-FR"/>
        </w:rPr>
        <w:t>DATE</w:t>
      </w:r>
      <w:r w:rsidR="00124AD9" w:rsidRPr="00E94D44">
        <w:rPr>
          <w:rFonts w:ascii="Arial Black" w:hAnsi="Arial Black"/>
          <w:caps/>
          <w:sz w:val="15"/>
          <w:lang w:val="fr-FR"/>
        </w:rPr>
        <w:t> :</w:t>
      </w:r>
      <w:r w:rsidR="002956DE" w:rsidRPr="00E94D44">
        <w:rPr>
          <w:rFonts w:ascii="Arial Black" w:hAnsi="Arial Black"/>
          <w:caps/>
          <w:sz w:val="15"/>
          <w:lang w:val="fr-FR"/>
        </w:rPr>
        <w:t xml:space="preserve"> </w:t>
      </w:r>
      <w:bookmarkStart w:id="2" w:name="Date"/>
      <w:r w:rsidR="00FC142F" w:rsidRPr="00E94D44">
        <w:rPr>
          <w:rFonts w:ascii="Arial Black" w:hAnsi="Arial Black"/>
          <w:caps/>
          <w:sz w:val="15"/>
          <w:lang w:val="fr-FR"/>
        </w:rPr>
        <w:t>1</w:t>
      </w:r>
      <w:r w:rsidR="00124AD9" w:rsidRPr="00E94D44">
        <w:rPr>
          <w:rFonts w:ascii="Arial Black" w:hAnsi="Arial Black"/>
          <w:caps/>
          <w:sz w:val="15"/>
          <w:lang w:val="fr-FR"/>
        </w:rPr>
        <w:t>5 février 20</w:t>
      </w:r>
      <w:r w:rsidR="00FC142F" w:rsidRPr="00E94D44">
        <w:rPr>
          <w:rFonts w:ascii="Arial Black" w:hAnsi="Arial Black"/>
          <w:caps/>
          <w:sz w:val="15"/>
          <w:lang w:val="fr-FR"/>
        </w:rPr>
        <w:t>24</w:t>
      </w:r>
    </w:p>
    <w:bookmarkEnd w:id="2"/>
    <w:p w14:paraId="1F744A2B" w14:textId="77777777" w:rsidR="003845C1" w:rsidRPr="00E94D44" w:rsidRDefault="001060FF" w:rsidP="00020C7E">
      <w:pPr>
        <w:pStyle w:val="Heading1"/>
        <w:spacing w:before="0" w:after="600"/>
        <w:rPr>
          <w:lang w:val="fr-FR"/>
        </w:rPr>
      </w:pPr>
      <w:r w:rsidRPr="00E94D44">
        <w:rPr>
          <w:caps w:val="0"/>
          <w:sz w:val="28"/>
          <w:lang w:val="fr-FR"/>
        </w:rPr>
        <w:t>Comité d</w:t>
      </w:r>
      <w:r w:rsidR="00897816" w:rsidRPr="00E94D44">
        <w:rPr>
          <w:caps w:val="0"/>
          <w:sz w:val="28"/>
          <w:lang w:val="fr-FR"/>
        </w:rPr>
        <w:t>u développement et de la propriété intellectuelle</w:t>
      </w:r>
      <w:r w:rsidR="003637BB" w:rsidRPr="00E94D44">
        <w:rPr>
          <w:sz w:val="24"/>
          <w:szCs w:val="24"/>
          <w:lang w:val="fr-FR"/>
        </w:rPr>
        <w:t> </w:t>
      </w:r>
      <w:r w:rsidR="00897816" w:rsidRPr="00E94D44">
        <w:rPr>
          <w:caps w:val="0"/>
          <w:sz w:val="28"/>
          <w:lang w:val="fr-FR"/>
        </w:rPr>
        <w:t>(CDIP)</w:t>
      </w:r>
    </w:p>
    <w:p w14:paraId="4B4E2525" w14:textId="473AA179" w:rsidR="00FE19E9" w:rsidRPr="00E94D44" w:rsidRDefault="000760CD" w:rsidP="00FE19E9">
      <w:pPr>
        <w:outlineLvl w:val="1"/>
        <w:rPr>
          <w:b/>
          <w:sz w:val="24"/>
          <w:szCs w:val="24"/>
          <w:lang w:val="fr-FR"/>
        </w:rPr>
      </w:pPr>
      <w:r w:rsidRPr="00E94D44">
        <w:rPr>
          <w:b/>
          <w:sz w:val="24"/>
          <w:szCs w:val="24"/>
          <w:lang w:val="fr-FR"/>
        </w:rPr>
        <w:t>Trente</w:t>
      </w:r>
      <w:r w:rsidR="00510B44" w:rsidRPr="00E94D44">
        <w:rPr>
          <w:b/>
          <w:sz w:val="24"/>
          <w:szCs w:val="24"/>
          <w:lang w:val="fr-FR"/>
        </w:rPr>
        <w:noBreakHyphen/>
      </w:r>
      <w:r w:rsidR="006E1EC4" w:rsidRPr="00E94D44">
        <w:rPr>
          <w:b/>
          <w:sz w:val="24"/>
          <w:szCs w:val="24"/>
          <w:lang w:val="fr-FR"/>
        </w:rPr>
        <w:t>deux</w:t>
      </w:r>
      <w:r w:rsidR="00124AD9" w:rsidRPr="00E94D44">
        <w:rPr>
          <w:b/>
          <w:sz w:val="24"/>
          <w:szCs w:val="24"/>
          <w:lang w:val="fr-FR"/>
        </w:rPr>
        <w:t>ième session</w:t>
      </w:r>
    </w:p>
    <w:p w14:paraId="0FF3C7E6" w14:textId="775ACFBB" w:rsidR="008B2CC1" w:rsidRPr="00E94D44" w:rsidRDefault="000760CD" w:rsidP="001060FF">
      <w:pPr>
        <w:spacing w:after="720"/>
        <w:outlineLvl w:val="1"/>
        <w:rPr>
          <w:b/>
          <w:sz w:val="24"/>
          <w:szCs w:val="24"/>
          <w:lang w:val="fr-FR"/>
        </w:rPr>
      </w:pPr>
      <w:r w:rsidRPr="00E94D44">
        <w:rPr>
          <w:b/>
          <w:sz w:val="24"/>
          <w:szCs w:val="24"/>
          <w:lang w:val="fr-FR"/>
        </w:rPr>
        <w:t xml:space="preserve">Genève, </w:t>
      </w:r>
      <w:r w:rsidR="006E1EC4" w:rsidRPr="00E94D44">
        <w:rPr>
          <w:b/>
          <w:sz w:val="24"/>
          <w:szCs w:val="24"/>
          <w:lang w:val="fr-FR"/>
        </w:rPr>
        <w:t>2</w:t>
      </w:r>
      <w:r w:rsidR="00124AD9" w:rsidRPr="00E94D44">
        <w:rPr>
          <w:b/>
          <w:sz w:val="24"/>
          <w:szCs w:val="24"/>
          <w:lang w:val="fr-FR"/>
        </w:rPr>
        <w:t>9 avril</w:t>
      </w:r>
      <w:r w:rsidR="006E1EC4" w:rsidRPr="00E94D44">
        <w:rPr>
          <w:b/>
          <w:sz w:val="24"/>
          <w:szCs w:val="24"/>
          <w:lang w:val="fr-FR"/>
        </w:rPr>
        <w:t xml:space="preserve"> – </w:t>
      </w:r>
      <w:r w:rsidR="00124AD9" w:rsidRPr="00E94D44">
        <w:rPr>
          <w:b/>
          <w:sz w:val="24"/>
          <w:szCs w:val="24"/>
          <w:lang w:val="fr-FR"/>
        </w:rPr>
        <w:t>3 mai 20</w:t>
      </w:r>
      <w:r w:rsidR="006E1EC4" w:rsidRPr="00E94D44">
        <w:rPr>
          <w:b/>
          <w:sz w:val="24"/>
          <w:szCs w:val="24"/>
          <w:lang w:val="fr-FR"/>
        </w:rPr>
        <w:t>24</w:t>
      </w:r>
    </w:p>
    <w:p w14:paraId="0F6BFA61" w14:textId="7C198089" w:rsidR="00FC142F" w:rsidRPr="00E94D44" w:rsidRDefault="00FC142F" w:rsidP="00FC142F">
      <w:pPr>
        <w:pStyle w:val="Heading2"/>
        <w:spacing w:after="360"/>
        <w:rPr>
          <w:sz w:val="24"/>
          <w:szCs w:val="24"/>
          <w:lang w:val="fr-FR"/>
        </w:rPr>
      </w:pPr>
      <w:bookmarkStart w:id="3" w:name="Prepared"/>
      <w:bookmarkEnd w:id="3"/>
      <w:r w:rsidRPr="00E94D44">
        <w:rPr>
          <w:sz w:val="24"/>
          <w:lang w:val="fr-FR"/>
        </w:rPr>
        <w:t>Rapport d</w:t>
      </w:r>
      <w:r w:rsidR="00124AD9" w:rsidRPr="00E94D44">
        <w:rPr>
          <w:sz w:val="24"/>
          <w:lang w:val="fr-FR"/>
        </w:rPr>
        <w:t>’</w:t>
      </w:r>
      <w:r w:rsidRPr="00E94D44">
        <w:rPr>
          <w:sz w:val="24"/>
          <w:lang w:val="fr-FR"/>
        </w:rPr>
        <w:t>achèvement du projet relatif au recensement et à l</w:t>
      </w:r>
      <w:r w:rsidR="00124AD9" w:rsidRPr="00E94D44">
        <w:rPr>
          <w:sz w:val="24"/>
          <w:lang w:val="fr-FR"/>
        </w:rPr>
        <w:t>’</w:t>
      </w:r>
      <w:r w:rsidRPr="00E94D44">
        <w:rPr>
          <w:sz w:val="24"/>
          <w:lang w:val="fr-FR"/>
        </w:rPr>
        <w:t>utilisation des inventions relevant du domaine public</w:t>
      </w:r>
    </w:p>
    <w:p w14:paraId="24FD4065" w14:textId="77777777" w:rsidR="00FC142F" w:rsidRPr="00E94D44" w:rsidRDefault="00FC142F" w:rsidP="00FC142F">
      <w:pPr>
        <w:pStyle w:val="Heading3"/>
        <w:spacing w:after="960"/>
        <w:rPr>
          <w:i/>
          <w:u w:val="none"/>
          <w:lang w:val="fr-FR"/>
        </w:rPr>
      </w:pPr>
      <w:proofErr w:type="gramStart"/>
      <w:r w:rsidRPr="00E94D44">
        <w:rPr>
          <w:i/>
          <w:u w:val="none"/>
          <w:lang w:val="fr-FR"/>
        </w:rPr>
        <w:t>établi</w:t>
      </w:r>
      <w:proofErr w:type="gramEnd"/>
      <w:r w:rsidRPr="00E94D44">
        <w:rPr>
          <w:i/>
          <w:u w:val="none"/>
          <w:lang w:val="fr-FR"/>
        </w:rPr>
        <w:t xml:space="preserve"> par le Secrétariat</w:t>
      </w:r>
    </w:p>
    <w:p w14:paraId="75DCF7D9" w14:textId="67C886BC" w:rsidR="00124AD9" w:rsidRPr="00E94D44" w:rsidRDefault="00FC142F" w:rsidP="002A0D44">
      <w:pPr>
        <w:pStyle w:val="ONUMFS"/>
        <w:spacing w:after="480"/>
        <w:rPr>
          <w:lang w:val="fr-FR"/>
        </w:rPr>
      </w:pPr>
      <w:r w:rsidRPr="00E94D44">
        <w:rPr>
          <w:lang w:val="fr-FR"/>
        </w:rPr>
        <w:t>Les annexes du présent document contiennent le rapport d</w:t>
      </w:r>
      <w:r w:rsidR="00124AD9" w:rsidRPr="00E94D44">
        <w:rPr>
          <w:lang w:val="fr-FR"/>
        </w:rPr>
        <w:t>’</w:t>
      </w:r>
      <w:r w:rsidRPr="00E94D44">
        <w:rPr>
          <w:lang w:val="fr-FR"/>
        </w:rPr>
        <w:t>achèvement du projet du Plan d</w:t>
      </w:r>
      <w:r w:rsidR="00124AD9" w:rsidRPr="00E94D44">
        <w:rPr>
          <w:lang w:val="fr-FR"/>
        </w:rPr>
        <w:t>’</w:t>
      </w:r>
      <w:r w:rsidRPr="00E94D44">
        <w:rPr>
          <w:lang w:val="fr-FR"/>
        </w:rPr>
        <w:t>action pour le développement relatif au recensement et à l</w:t>
      </w:r>
      <w:r w:rsidR="00124AD9" w:rsidRPr="00E94D44">
        <w:rPr>
          <w:lang w:val="fr-FR"/>
        </w:rPr>
        <w:t>’</w:t>
      </w:r>
      <w:r w:rsidRPr="00E94D44">
        <w:rPr>
          <w:lang w:val="fr-FR"/>
        </w:rPr>
        <w:t>utilisation des inventions relevant du domaine publ</w:t>
      </w:r>
      <w:r w:rsidR="00C84D5E" w:rsidRPr="00E94D44">
        <w:rPr>
          <w:lang w:val="fr-FR"/>
        </w:rPr>
        <w:t>ic.  Le</w:t>
      </w:r>
      <w:r w:rsidRPr="00E94D44">
        <w:rPr>
          <w:lang w:val="fr-FR"/>
        </w:rPr>
        <w:t xml:space="preserve"> rapport couvre l</w:t>
      </w:r>
      <w:r w:rsidR="00124AD9" w:rsidRPr="00E94D44">
        <w:rPr>
          <w:lang w:val="fr-FR"/>
        </w:rPr>
        <w:t>’</w:t>
      </w:r>
      <w:r w:rsidRPr="00E94D44">
        <w:rPr>
          <w:lang w:val="fr-FR"/>
        </w:rPr>
        <w:t>intégralité de la période de mise en œuvre du projet, qui s</w:t>
      </w:r>
      <w:r w:rsidR="00124AD9" w:rsidRPr="00E94D44">
        <w:rPr>
          <w:lang w:val="fr-FR"/>
        </w:rPr>
        <w:t>’</w:t>
      </w:r>
      <w:r w:rsidRPr="00E94D44">
        <w:rPr>
          <w:lang w:val="fr-FR"/>
        </w:rPr>
        <w:t xml:space="preserve">est étendue de </w:t>
      </w:r>
      <w:r w:rsidR="00124AD9" w:rsidRPr="00E94D44">
        <w:rPr>
          <w:lang w:val="fr-FR"/>
        </w:rPr>
        <w:t>janvier 20</w:t>
      </w:r>
      <w:r w:rsidRPr="00E94D44">
        <w:rPr>
          <w:lang w:val="fr-FR"/>
        </w:rPr>
        <w:t xml:space="preserve">22 à </w:t>
      </w:r>
      <w:r w:rsidR="00124AD9" w:rsidRPr="00E94D44">
        <w:rPr>
          <w:lang w:val="fr-FR"/>
        </w:rPr>
        <w:t>décembre 20</w:t>
      </w:r>
      <w:r w:rsidRPr="00E94D44">
        <w:rPr>
          <w:lang w:val="fr-FR"/>
        </w:rPr>
        <w:t>23.</w:t>
      </w:r>
    </w:p>
    <w:p w14:paraId="0986D84F" w14:textId="05D9213E" w:rsidR="00FC142F" w:rsidRPr="00E94D44" w:rsidRDefault="00FC142F" w:rsidP="00FC142F">
      <w:pPr>
        <w:pStyle w:val="ONUMFS"/>
        <w:ind w:left="5533"/>
        <w:rPr>
          <w:i/>
          <w:lang w:val="fr-FR"/>
        </w:rPr>
      </w:pPr>
      <w:r w:rsidRPr="00E94D44">
        <w:rPr>
          <w:i/>
          <w:lang w:val="fr-FR"/>
        </w:rPr>
        <w:t>Le comité est invité à prendre note des informations qui figurent dans les annexes du présent document.</w:t>
      </w:r>
    </w:p>
    <w:p w14:paraId="347B8074" w14:textId="72FE48D6" w:rsidR="002A0D44" w:rsidRPr="00E94D44" w:rsidRDefault="00FC142F" w:rsidP="002A0D44">
      <w:pPr>
        <w:pStyle w:val="Endofdocument-Annex"/>
        <w:spacing w:before="720" w:after="240"/>
        <w:rPr>
          <w:lang w:val="fr-FR"/>
        </w:rPr>
      </w:pPr>
      <w:r w:rsidRPr="00E94D44">
        <w:rPr>
          <w:lang w:val="fr-FR"/>
        </w:rPr>
        <w:t>[Les annexes suivent]</w:t>
      </w:r>
    </w:p>
    <w:p w14:paraId="00FBA581" w14:textId="77777777" w:rsidR="002A0D44" w:rsidRPr="00E94D44" w:rsidRDefault="002A0D44" w:rsidP="002A0D44">
      <w:pPr>
        <w:spacing w:before="71"/>
        <w:rPr>
          <w:b/>
          <w:lang w:val="fr-FR"/>
        </w:rPr>
        <w:sectPr w:rsidR="002A0D44" w:rsidRPr="00E94D44" w:rsidSect="00541FEA">
          <w:headerReference w:type="default" r:id="rId9"/>
          <w:pgSz w:w="11907" w:h="16840" w:code="9"/>
          <w:pgMar w:top="540" w:right="1417" w:bottom="1417" w:left="1417" w:header="504" w:footer="1022" w:gutter="0"/>
          <w:cols w:space="720"/>
          <w:titlePg/>
          <w:docGrid w:linePitch="299"/>
        </w:sectPr>
      </w:pPr>
      <w:r w:rsidRPr="00E94D44">
        <w:rPr>
          <w:lang w:val="fr-FR"/>
        </w:rPr>
        <w:br w:type="page"/>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2A0D44" w:rsidRPr="00E94D44" w14:paraId="3B5C4D1B" w14:textId="77777777" w:rsidTr="00F10BF2">
        <w:trPr>
          <w:trHeight w:val="431"/>
        </w:trPr>
        <w:tc>
          <w:tcPr>
            <w:tcW w:w="9290" w:type="dxa"/>
            <w:gridSpan w:val="2"/>
            <w:vAlign w:val="center"/>
          </w:tcPr>
          <w:p w14:paraId="2A813F0B" w14:textId="77777777" w:rsidR="002A0D44" w:rsidRPr="00E94D44" w:rsidRDefault="002A0D44" w:rsidP="00F10BF2">
            <w:pPr>
              <w:pStyle w:val="ONUMFS"/>
              <w:numPr>
                <w:ilvl w:val="0"/>
                <w:numId w:val="0"/>
              </w:numPr>
              <w:spacing w:after="0"/>
              <w:ind w:left="134"/>
              <w:rPr>
                <w:lang w:val="fr-FR"/>
              </w:rPr>
            </w:pPr>
            <w:r w:rsidRPr="00E94D44">
              <w:rPr>
                <w:lang w:val="fr-FR"/>
              </w:rPr>
              <w:lastRenderedPageBreak/>
              <w:t>RÉSUMÉ DU PROJET</w:t>
            </w:r>
          </w:p>
        </w:tc>
      </w:tr>
      <w:tr w:rsidR="002A0D44" w:rsidRPr="00E94D44" w14:paraId="6E217EFA" w14:textId="77777777" w:rsidTr="005A5A9F">
        <w:trPr>
          <w:trHeight w:val="414"/>
        </w:trPr>
        <w:tc>
          <w:tcPr>
            <w:tcW w:w="2377" w:type="dxa"/>
            <w:shd w:val="clear" w:color="auto" w:fill="8DB3E1"/>
          </w:tcPr>
          <w:p w14:paraId="5F06E2EB" w14:textId="77777777" w:rsidR="002A0D44" w:rsidRPr="00E94D44" w:rsidRDefault="002A0D44" w:rsidP="009940FE">
            <w:pPr>
              <w:pStyle w:val="ONUMFS"/>
              <w:numPr>
                <w:ilvl w:val="0"/>
                <w:numId w:val="0"/>
              </w:numPr>
              <w:ind w:left="134"/>
              <w:rPr>
                <w:lang w:val="fr-FR"/>
              </w:rPr>
            </w:pPr>
            <w:r w:rsidRPr="00E94D44">
              <w:rPr>
                <w:u w:val="single"/>
                <w:lang w:val="fr-FR"/>
              </w:rPr>
              <w:t>Code du projet</w:t>
            </w:r>
          </w:p>
        </w:tc>
        <w:tc>
          <w:tcPr>
            <w:tcW w:w="6913" w:type="dxa"/>
          </w:tcPr>
          <w:p w14:paraId="263C309B" w14:textId="77777777" w:rsidR="002A0D44" w:rsidRPr="00E94D44" w:rsidRDefault="002A0D44" w:rsidP="00A430E8">
            <w:pPr>
              <w:pStyle w:val="ONUMFS"/>
              <w:numPr>
                <w:ilvl w:val="0"/>
                <w:numId w:val="0"/>
              </w:numPr>
              <w:ind w:left="160"/>
              <w:rPr>
                <w:lang w:val="fr-FR"/>
              </w:rPr>
            </w:pPr>
            <w:r w:rsidRPr="00E94D44">
              <w:rPr>
                <w:lang w:val="fr-FR"/>
              </w:rPr>
              <w:t>DA_16_20_04</w:t>
            </w:r>
          </w:p>
        </w:tc>
      </w:tr>
      <w:tr w:rsidR="002A0D44" w:rsidRPr="00E94D44" w14:paraId="7BD5C238" w14:textId="77777777" w:rsidTr="005A5A9F">
        <w:trPr>
          <w:trHeight w:val="342"/>
        </w:trPr>
        <w:tc>
          <w:tcPr>
            <w:tcW w:w="2377" w:type="dxa"/>
            <w:shd w:val="clear" w:color="auto" w:fill="8DB3E1"/>
          </w:tcPr>
          <w:p w14:paraId="16112067" w14:textId="77777777" w:rsidR="002A0D44" w:rsidRPr="00E94D44" w:rsidRDefault="002A0D44" w:rsidP="009940FE">
            <w:pPr>
              <w:pStyle w:val="ONUMFS"/>
              <w:numPr>
                <w:ilvl w:val="0"/>
                <w:numId w:val="0"/>
              </w:numPr>
              <w:ind w:left="134"/>
              <w:rPr>
                <w:lang w:val="fr-FR"/>
              </w:rPr>
            </w:pPr>
            <w:r w:rsidRPr="00E94D44">
              <w:rPr>
                <w:u w:val="single"/>
                <w:lang w:val="fr-FR"/>
              </w:rPr>
              <w:t>Titre</w:t>
            </w:r>
          </w:p>
        </w:tc>
        <w:tc>
          <w:tcPr>
            <w:tcW w:w="6913" w:type="dxa"/>
          </w:tcPr>
          <w:p w14:paraId="2A14D255" w14:textId="07865AAE" w:rsidR="002A0D44" w:rsidRPr="00E94D44" w:rsidRDefault="00C264E1" w:rsidP="00A430E8">
            <w:pPr>
              <w:pStyle w:val="ONUMFS"/>
              <w:numPr>
                <w:ilvl w:val="0"/>
                <w:numId w:val="0"/>
              </w:numPr>
              <w:ind w:left="160"/>
              <w:rPr>
                <w:lang w:val="fr-FR"/>
              </w:rPr>
            </w:pPr>
            <w:hyperlink r:id="rId10" w:history="1">
              <w:r w:rsidR="002A0D44" w:rsidRPr="00E94D44">
                <w:rPr>
                  <w:rStyle w:val="Hyperlink"/>
                  <w:lang w:val="fr-FR"/>
                </w:rPr>
                <w:t>Recensement et utilisation des inventions relevant du domaine public</w:t>
              </w:r>
            </w:hyperlink>
          </w:p>
        </w:tc>
      </w:tr>
      <w:tr w:rsidR="002A0D44" w:rsidRPr="00E94D44" w14:paraId="7241BC89" w14:textId="77777777" w:rsidTr="005A5A9F">
        <w:trPr>
          <w:trHeight w:val="621"/>
        </w:trPr>
        <w:tc>
          <w:tcPr>
            <w:tcW w:w="2377" w:type="dxa"/>
            <w:shd w:val="clear" w:color="auto" w:fill="8DB3E1"/>
          </w:tcPr>
          <w:p w14:paraId="5288D927" w14:textId="7A75AABE" w:rsidR="002A0D44" w:rsidRPr="00E94D44" w:rsidRDefault="00C264E1" w:rsidP="009940FE">
            <w:pPr>
              <w:pStyle w:val="ONUMFS"/>
              <w:numPr>
                <w:ilvl w:val="0"/>
                <w:numId w:val="0"/>
              </w:numPr>
              <w:ind w:left="134"/>
              <w:rPr>
                <w:lang w:val="fr-FR"/>
              </w:rPr>
            </w:pPr>
            <w:hyperlink r:id="rId11" w:history="1">
              <w:r w:rsidR="002A0D44" w:rsidRPr="00E94D44">
                <w:rPr>
                  <w:rStyle w:val="Hyperlink"/>
                  <w:lang w:val="fr-FR"/>
                </w:rPr>
                <w:t>Recommandation du Plan d</w:t>
              </w:r>
              <w:r w:rsidR="00124AD9" w:rsidRPr="00E94D44">
                <w:rPr>
                  <w:rStyle w:val="Hyperlink"/>
                  <w:lang w:val="fr-FR"/>
                </w:rPr>
                <w:t>’</w:t>
              </w:r>
              <w:r w:rsidR="002A0D44" w:rsidRPr="00E94D44">
                <w:rPr>
                  <w:rStyle w:val="Hyperlink"/>
                  <w:lang w:val="fr-FR"/>
                </w:rPr>
                <w:t>action pour le développement</w:t>
              </w:r>
            </w:hyperlink>
          </w:p>
        </w:tc>
        <w:tc>
          <w:tcPr>
            <w:tcW w:w="6913" w:type="dxa"/>
          </w:tcPr>
          <w:p w14:paraId="66FF7BEA" w14:textId="77777777" w:rsidR="002A0D44" w:rsidRPr="00E94D44" w:rsidRDefault="002A0D44" w:rsidP="00A430E8">
            <w:pPr>
              <w:pStyle w:val="ONUMFS"/>
              <w:numPr>
                <w:ilvl w:val="0"/>
                <w:numId w:val="0"/>
              </w:numPr>
              <w:ind w:left="160"/>
              <w:rPr>
                <w:lang w:val="fr-FR"/>
              </w:rPr>
            </w:pPr>
            <w:r w:rsidRPr="00E94D44">
              <w:rPr>
                <w:lang w:val="fr-FR"/>
              </w:rPr>
              <w:t>Recommandations n</w:t>
            </w:r>
            <w:r w:rsidRPr="00E94D44">
              <w:rPr>
                <w:vertAlign w:val="superscript"/>
                <w:lang w:val="fr-FR"/>
              </w:rPr>
              <w:t>os</w:t>
            </w:r>
            <w:r w:rsidRPr="00E94D44">
              <w:rPr>
                <w:lang w:val="fr-FR"/>
              </w:rPr>
              <w:t xml:space="preserve"> 16 et 20.</w:t>
            </w:r>
          </w:p>
        </w:tc>
      </w:tr>
      <w:tr w:rsidR="002A0D44" w:rsidRPr="00E94D44" w14:paraId="4289B297" w14:textId="77777777" w:rsidTr="005A5A9F">
        <w:trPr>
          <w:trHeight w:val="531"/>
        </w:trPr>
        <w:tc>
          <w:tcPr>
            <w:tcW w:w="2377" w:type="dxa"/>
            <w:shd w:val="clear" w:color="auto" w:fill="8DB3E1"/>
          </w:tcPr>
          <w:p w14:paraId="5EEACFA0" w14:textId="77777777" w:rsidR="002A0D44" w:rsidRPr="00E94D44" w:rsidRDefault="002A0D44" w:rsidP="009940FE">
            <w:pPr>
              <w:pStyle w:val="ONUMFS"/>
              <w:numPr>
                <w:ilvl w:val="0"/>
                <w:numId w:val="0"/>
              </w:numPr>
              <w:ind w:left="134"/>
              <w:rPr>
                <w:lang w:val="fr-FR"/>
              </w:rPr>
            </w:pPr>
            <w:r w:rsidRPr="00E94D44">
              <w:rPr>
                <w:u w:val="single"/>
                <w:lang w:val="fr-FR"/>
              </w:rPr>
              <w:t>Budget du projet</w:t>
            </w:r>
          </w:p>
        </w:tc>
        <w:tc>
          <w:tcPr>
            <w:tcW w:w="6913" w:type="dxa"/>
          </w:tcPr>
          <w:p w14:paraId="712C10B4" w14:textId="19DDAEE4" w:rsidR="002A0D44" w:rsidRPr="00E94D44" w:rsidRDefault="002A0D44" w:rsidP="00A430E8">
            <w:pPr>
              <w:pStyle w:val="ONUMFS"/>
              <w:numPr>
                <w:ilvl w:val="0"/>
                <w:numId w:val="0"/>
              </w:numPr>
              <w:ind w:left="160"/>
              <w:rPr>
                <w:lang w:val="fr-FR"/>
              </w:rPr>
            </w:pPr>
            <w:r w:rsidRPr="00E94D44">
              <w:rPr>
                <w:lang w:val="fr-FR"/>
              </w:rPr>
              <w:t>Budget total du projet</w:t>
            </w:r>
            <w:r w:rsidR="00124AD9" w:rsidRPr="00E94D44">
              <w:rPr>
                <w:lang w:val="fr-FR"/>
              </w:rPr>
              <w:t> :</w:t>
            </w:r>
            <w:r w:rsidRPr="00E94D44">
              <w:rPr>
                <w:lang w:val="fr-FR"/>
              </w:rPr>
              <w:t xml:space="preserve"> 80 000 francs suisses au titre des dépenses autres que les dépenses de personnel.</w:t>
            </w:r>
          </w:p>
        </w:tc>
      </w:tr>
      <w:tr w:rsidR="002A0D44" w:rsidRPr="00E94D44" w14:paraId="1C20BD52" w14:textId="77777777" w:rsidTr="005A5A9F">
        <w:trPr>
          <w:trHeight w:val="441"/>
        </w:trPr>
        <w:tc>
          <w:tcPr>
            <w:tcW w:w="2377" w:type="dxa"/>
            <w:shd w:val="clear" w:color="auto" w:fill="8DB3E1"/>
          </w:tcPr>
          <w:p w14:paraId="37952598" w14:textId="77777777" w:rsidR="002A0D44" w:rsidRPr="00E94D44" w:rsidRDefault="002A0D44" w:rsidP="009940FE">
            <w:pPr>
              <w:pStyle w:val="ONUMFS"/>
              <w:numPr>
                <w:ilvl w:val="0"/>
                <w:numId w:val="0"/>
              </w:numPr>
              <w:ind w:left="134"/>
              <w:rPr>
                <w:lang w:val="fr-FR"/>
              </w:rPr>
            </w:pPr>
            <w:r w:rsidRPr="00E94D44">
              <w:rPr>
                <w:u w:val="single"/>
                <w:lang w:val="fr-FR"/>
              </w:rPr>
              <w:t>Durée du projet</w:t>
            </w:r>
          </w:p>
        </w:tc>
        <w:tc>
          <w:tcPr>
            <w:tcW w:w="6913" w:type="dxa"/>
          </w:tcPr>
          <w:p w14:paraId="6FD010C8" w14:textId="77777777" w:rsidR="002A0D44" w:rsidRPr="00E94D44" w:rsidRDefault="002A0D44" w:rsidP="00A430E8">
            <w:pPr>
              <w:pStyle w:val="ONUMFS"/>
              <w:numPr>
                <w:ilvl w:val="0"/>
                <w:numId w:val="0"/>
              </w:numPr>
              <w:ind w:left="160"/>
              <w:rPr>
                <w:lang w:val="fr-FR"/>
              </w:rPr>
            </w:pPr>
            <w:r w:rsidRPr="00E94D44">
              <w:rPr>
                <w:lang w:val="fr-FR"/>
              </w:rPr>
              <w:t>24 mois</w:t>
            </w:r>
          </w:p>
        </w:tc>
      </w:tr>
      <w:tr w:rsidR="002A0D44" w:rsidRPr="00E94D44" w14:paraId="55DEF053" w14:textId="77777777" w:rsidTr="005A5A9F">
        <w:trPr>
          <w:trHeight w:val="891"/>
        </w:trPr>
        <w:tc>
          <w:tcPr>
            <w:tcW w:w="2377" w:type="dxa"/>
            <w:shd w:val="clear" w:color="auto" w:fill="8DB3E1"/>
          </w:tcPr>
          <w:p w14:paraId="2F0BC596" w14:textId="26FF2AAE" w:rsidR="002A0D44" w:rsidRPr="00E94D44" w:rsidRDefault="002A0D44" w:rsidP="009940FE">
            <w:pPr>
              <w:pStyle w:val="ONUMFS"/>
              <w:numPr>
                <w:ilvl w:val="0"/>
                <w:numId w:val="0"/>
              </w:numPr>
              <w:ind w:left="134"/>
              <w:rPr>
                <w:lang w:val="fr-FR"/>
              </w:rPr>
            </w:pPr>
            <w:r w:rsidRPr="00E94D44">
              <w:rPr>
                <w:u w:val="single"/>
                <w:lang w:val="fr-FR"/>
              </w:rPr>
              <w:t>Principaux secteurs/domaines de l</w:t>
            </w:r>
            <w:r w:rsidR="00124AD9" w:rsidRPr="00E94D44">
              <w:rPr>
                <w:u w:val="single"/>
                <w:lang w:val="fr-FR"/>
              </w:rPr>
              <w:t>’</w:t>
            </w:r>
            <w:r w:rsidRPr="00E94D44">
              <w:rPr>
                <w:u w:val="single"/>
                <w:lang w:val="fr-FR"/>
              </w:rPr>
              <w:t>OMPI participant à la mise en œuvre du projet</w:t>
            </w:r>
          </w:p>
        </w:tc>
        <w:tc>
          <w:tcPr>
            <w:tcW w:w="6913" w:type="dxa"/>
          </w:tcPr>
          <w:p w14:paraId="4F6F3290" w14:textId="688B25AF" w:rsidR="002A0D44" w:rsidRPr="00E94D44" w:rsidRDefault="002A0D44" w:rsidP="00A430E8">
            <w:pPr>
              <w:pStyle w:val="ONUMFS"/>
              <w:numPr>
                <w:ilvl w:val="0"/>
                <w:numId w:val="0"/>
              </w:numPr>
              <w:ind w:left="160"/>
              <w:rPr>
                <w:lang w:val="fr-FR"/>
              </w:rPr>
            </w:pPr>
            <w:r w:rsidRPr="00E94D44">
              <w:rPr>
                <w:lang w:val="fr-FR"/>
              </w:rPr>
              <w:t>Secteur de mise en œuvre</w:t>
            </w:r>
            <w:r w:rsidR="00124AD9" w:rsidRPr="00E94D44">
              <w:rPr>
                <w:lang w:val="fr-FR"/>
              </w:rPr>
              <w:t> :</w:t>
            </w:r>
            <w:r w:rsidRPr="00E94D44">
              <w:rPr>
                <w:lang w:val="fr-FR"/>
              </w:rPr>
              <w:t xml:space="preserve"> Écosystèmes de propriété intellectuelle et d</w:t>
            </w:r>
            <w:r w:rsidR="00124AD9" w:rsidRPr="00E94D44">
              <w:rPr>
                <w:lang w:val="fr-FR"/>
              </w:rPr>
              <w:t>’</w:t>
            </w:r>
            <w:r w:rsidRPr="00E94D44">
              <w:rPr>
                <w:lang w:val="fr-FR"/>
              </w:rPr>
              <w:t>in</w:t>
            </w:r>
            <w:r w:rsidR="00B539C3" w:rsidRPr="00E94D44">
              <w:rPr>
                <w:lang w:val="fr-FR"/>
              </w:rPr>
              <w:t>n</w:t>
            </w:r>
            <w:r w:rsidRPr="00E94D44">
              <w:rPr>
                <w:lang w:val="fr-FR"/>
              </w:rPr>
              <w:t>ovation.</w:t>
            </w:r>
          </w:p>
          <w:p w14:paraId="77F38FC2" w14:textId="3D31A801" w:rsidR="002A0D44" w:rsidRPr="00E94D44" w:rsidRDefault="002A0D44" w:rsidP="00A430E8">
            <w:pPr>
              <w:pStyle w:val="ONUMFS"/>
              <w:numPr>
                <w:ilvl w:val="0"/>
                <w:numId w:val="0"/>
              </w:numPr>
              <w:ind w:left="160"/>
              <w:rPr>
                <w:lang w:val="fr-FR"/>
              </w:rPr>
            </w:pPr>
            <w:r w:rsidRPr="00E94D44">
              <w:rPr>
                <w:lang w:val="fr-FR"/>
              </w:rPr>
              <w:t>Autres secteurs concernés</w:t>
            </w:r>
            <w:r w:rsidR="00124AD9" w:rsidRPr="00E94D44">
              <w:rPr>
                <w:lang w:val="fr-FR"/>
              </w:rPr>
              <w:t> :</w:t>
            </w:r>
            <w:r w:rsidRPr="00E94D44">
              <w:rPr>
                <w:lang w:val="fr-FR"/>
              </w:rPr>
              <w:t xml:space="preserve"> Secteur des brevets et de la technologie, Secteur du développement régional et national, et Secteur de l</w:t>
            </w:r>
            <w:r w:rsidR="00124AD9" w:rsidRPr="00E94D44">
              <w:rPr>
                <w:lang w:val="fr-FR"/>
              </w:rPr>
              <w:t>’</w:t>
            </w:r>
            <w:r w:rsidRPr="00E94D44">
              <w:rPr>
                <w:lang w:val="fr-FR"/>
              </w:rPr>
              <w:t>infrastructure et des plateformes</w:t>
            </w:r>
          </w:p>
        </w:tc>
      </w:tr>
      <w:tr w:rsidR="002A0D44" w:rsidRPr="00E94D44" w14:paraId="52B533C6" w14:textId="77777777" w:rsidTr="005A5A9F">
        <w:trPr>
          <w:trHeight w:val="621"/>
        </w:trPr>
        <w:tc>
          <w:tcPr>
            <w:tcW w:w="2377" w:type="dxa"/>
            <w:shd w:val="clear" w:color="auto" w:fill="8DB3E1"/>
          </w:tcPr>
          <w:p w14:paraId="64B67AE3" w14:textId="77777777" w:rsidR="002A0D44" w:rsidRPr="00E94D44" w:rsidRDefault="002A0D44" w:rsidP="009940FE">
            <w:pPr>
              <w:pStyle w:val="ONUMFS"/>
              <w:numPr>
                <w:ilvl w:val="0"/>
                <w:numId w:val="0"/>
              </w:numPr>
              <w:ind w:left="134"/>
              <w:rPr>
                <w:lang w:val="fr-FR"/>
              </w:rPr>
            </w:pPr>
            <w:r w:rsidRPr="00E94D44">
              <w:rPr>
                <w:u w:val="single"/>
                <w:lang w:val="fr-FR"/>
              </w:rPr>
              <w:t>Brève description du projet</w:t>
            </w:r>
          </w:p>
        </w:tc>
        <w:tc>
          <w:tcPr>
            <w:tcW w:w="6913" w:type="dxa"/>
          </w:tcPr>
          <w:p w14:paraId="558F2680" w14:textId="7D0E58B9" w:rsidR="00B539C3" w:rsidRPr="00E94D44" w:rsidRDefault="002A0D44" w:rsidP="00A430E8">
            <w:pPr>
              <w:pStyle w:val="ONUMFS"/>
              <w:numPr>
                <w:ilvl w:val="0"/>
                <w:numId w:val="0"/>
              </w:numPr>
              <w:ind w:left="160"/>
              <w:rPr>
                <w:lang w:val="fr-FR"/>
              </w:rPr>
            </w:pPr>
            <w:r w:rsidRPr="00E94D44">
              <w:rPr>
                <w:lang w:val="fr-FR"/>
              </w:rPr>
              <w:t>Le projet s</w:t>
            </w:r>
            <w:r w:rsidR="00124AD9" w:rsidRPr="00E94D44">
              <w:rPr>
                <w:lang w:val="fr-FR"/>
              </w:rPr>
              <w:t>’</w:t>
            </w:r>
            <w:r w:rsidRPr="00E94D44">
              <w:rPr>
                <w:lang w:val="fr-FR"/>
              </w:rPr>
              <w:t>est appuyé sur les résultats du projet du Plan d</w:t>
            </w:r>
            <w:r w:rsidR="00124AD9" w:rsidRPr="00E94D44">
              <w:rPr>
                <w:lang w:val="fr-FR"/>
              </w:rPr>
              <w:t>’</w:t>
            </w:r>
            <w:r w:rsidRPr="00E94D44">
              <w:rPr>
                <w:lang w:val="fr-FR"/>
              </w:rPr>
              <w:t xml:space="preserve">action pour le développement relatif à </w:t>
            </w:r>
            <w:r w:rsidRPr="00E94D44">
              <w:rPr>
                <w:i/>
                <w:lang w:val="fr-FR"/>
              </w:rPr>
              <w:t>l</w:t>
            </w:r>
            <w:r w:rsidR="00124AD9" w:rsidRPr="00E94D44">
              <w:rPr>
                <w:i/>
                <w:lang w:val="fr-FR"/>
              </w:rPr>
              <w:t>’</w:t>
            </w:r>
            <w:r w:rsidRPr="00E94D44">
              <w:rPr>
                <w:i/>
                <w:lang w:val="fr-FR"/>
              </w:rPr>
              <w:t>utilisation de l</w:t>
            </w:r>
            <w:r w:rsidR="00124AD9" w:rsidRPr="00E94D44">
              <w:rPr>
                <w:i/>
                <w:lang w:val="fr-FR"/>
              </w:rPr>
              <w:t>’</w:t>
            </w:r>
            <w:r w:rsidRPr="00E94D44">
              <w:rPr>
                <w:i/>
                <w:lang w:val="fr-FR"/>
              </w:rPr>
              <w:t>information figurant dans le domaine public aux fins du développement économique</w:t>
            </w:r>
            <w:r w:rsidRPr="00E94D44">
              <w:rPr>
                <w:lang w:val="fr-FR"/>
              </w:rPr>
              <w:t xml:space="preserve"> et les activités de programme en cours visant à créer et renforcer des centres d</w:t>
            </w:r>
            <w:r w:rsidR="00124AD9" w:rsidRPr="00E94D44">
              <w:rPr>
                <w:lang w:val="fr-FR"/>
              </w:rPr>
              <w:t>’</w:t>
            </w:r>
            <w:r w:rsidRPr="00E94D44">
              <w:rPr>
                <w:lang w:val="fr-FR"/>
              </w:rPr>
              <w:t>appui à la technologie et à l</w:t>
            </w:r>
            <w:r w:rsidR="00124AD9" w:rsidRPr="00E94D44">
              <w:rPr>
                <w:lang w:val="fr-FR"/>
              </w:rPr>
              <w:t>’</w:t>
            </w:r>
            <w:r w:rsidRPr="00E94D44">
              <w:rPr>
                <w:lang w:val="fr-FR"/>
              </w:rPr>
              <w:t>innovation (CATI).</w:t>
            </w:r>
          </w:p>
          <w:p w14:paraId="22AD317F" w14:textId="0D5565F0" w:rsidR="002A0D44" w:rsidRPr="00E94D44" w:rsidRDefault="002A0D44" w:rsidP="00A430E8">
            <w:pPr>
              <w:pStyle w:val="ONUMFS"/>
              <w:numPr>
                <w:ilvl w:val="0"/>
                <w:numId w:val="0"/>
              </w:numPr>
              <w:ind w:left="160"/>
              <w:rPr>
                <w:lang w:val="fr-FR"/>
              </w:rPr>
            </w:pPr>
            <w:r w:rsidRPr="00E94D44">
              <w:rPr>
                <w:lang w:val="fr-FR"/>
              </w:rPr>
              <w:t>Il visait à renforcer les capacités</w:t>
            </w:r>
            <w:r w:rsidR="00124AD9" w:rsidRPr="00E94D44">
              <w:rPr>
                <w:lang w:val="fr-FR"/>
              </w:rPr>
              <w:t xml:space="preserve"> des CAT</w:t>
            </w:r>
            <w:r w:rsidRPr="00E94D44">
              <w:rPr>
                <w:lang w:val="fr-FR"/>
              </w:rPr>
              <w:t>I en ce qui concerne la fourniture de services relatifs au recensement et à l</w:t>
            </w:r>
            <w:r w:rsidR="00124AD9" w:rsidRPr="00E94D44">
              <w:rPr>
                <w:lang w:val="fr-FR"/>
              </w:rPr>
              <w:t>’</w:t>
            </w:r>
            <w:r w:rsidRPr="00E94D44">
              <w:rPr>
                <w:lang w:val="fr-FR"/>
              </w:rPr>
              <w:t>utilisation des inventions relevant du domaine publ</w:t>
            </w:r>
            <w:r w:rsidR="00C84D5E" w:rsidRPr="00E94D44">
              <w:rPr>
                <w:lang w:val="fr-FR"/>
              </w:rPr>
              <w:t>ic.  L’o</w:t>
            </w:r>
            <w:r w:rsidRPr="00E94D44">
              <w:rPr>
                <w:lang w:val="fr-FR"/>
              </w:rPr>
              <w:t>bjectif était de donner au personnel</w:t>
            </w:r>
            <w:r w:rsidR="00124AD9" w:rsidRPr="00E94D44">
              <w:rPr>
                <w:lang w:val="fr-FR"/>
              </w:rPr>
              <w:t xml:space="preserve"> des CAT</w:t>
            </w:r>
            <w:r w:rsidRPr="00E94D44">
              <w:rPr>
                <w:lang w:val="fr-FR"/>
              </w:rPr>
              <w:t>I, aux chercheurs et aux entrepreneurs des moyens supplémentaires et de les aider à acquérir les compétences nécessaires pour qu</w:t>
            </w:r>
            <w:r w:rsidR="00124AD9" w:rsidRPr="00E94D44">
              <w:rPr>
                <w:lang w:val="fr-FR"/>
              </w:rPr>
              <w:t>’</w:t>
            </w:r>
            <w:r w:rsidRPr="00E94D44">
              <w:rPr>
                <w:lang w:val="fr-FR"/>
              </w:rPr>
              <w:t>ils puissent recenser et utiliser les inventions relevant du domaine public, compte tenu des besoins et de la situation dans les pays en développement.</w:t>
            </w:r>
          </w:p>
          <w:p w14:paraId="6950901A" w14:textId="35070AC0" w:rsidR="002A0D44" w:rsidRPr="00E94D44" w:rsidRDefault="002A0D44" w:rsidP="00A430E8">
            <w:pPr>
              <w:pStyle w:val="ONUMFS"/>
              <w:numPr>
                <w:ilvl w:val="0"/>
                <w:numId w:val="0"/>
              </w:numPr>
              <w:ind w:left="160"/>
              <w:rPr>
                <w:lang w:val="fr-FR"/>
              </w:rPr>
            </w:pPr>
            <w:r w:rsidRPr="00E94D44">
              <w:rPr>
                <w:lang w:val="fr-FR"/>
              </w:rPr>
              <w:t>Le projet comprenait l</w:t>
            </w:r>
            <w:r w:rsidR="00124AD9" w:rsidRPr="00E94D44">
              <w:rPr>
                <w:lang w:val="fr-FR"/>
              </w:rPr>
              <w:t>’</w:t>
            </w:r>
            <w:r w:rsidRPr="00E94D44">
              <w:rPr>
                <w:lang w:val="fr-FR"/>
              </w:rPr>
              <w:t>élaboration d</w:t>
            </w:r>
            <w:r w:rsidR="00124AD9" w:rsidRPr="00E94D44">
              <w:rPr>
                <w:lang w:val="fr-FR"/>
              </w:rPr>
              <w:t>’</w:t>
            </w:r>
            <w:r w:rsidRPr="00E94D44">
              <w:rPr>
                <w:lang w:val="fr-FR"/>
              </w:rPr>
              <w:t>un manuel contenant des outils concrets en rapport avec les principes et procédures décrits dans les deux</w:t>
            </w:r>
            <w:r w:rsidR="00E1082F" w:rsidRPr="00E94D44">
              <w:rPr>
                <w:lang w:val="fr-FR"/>
              </w:rPr>
              <w:t> </w:t>
            </w:r>
            <w:r w:rsidRPr="00E94D44">
              <w:rPr>
                <w:lang w:val="fr-FR"/>
              </w:rPr>
              <w:t>guides intitulés “</w:t>
            </w:r>
            <w:r w:rsidRPr="00E94D44">
              <w:rPr>
                <w:i/>
                <w:iCs/>
                <w:lang w:val="fr-FR"/>
              </w:rPr>
              <w:t>Recensement des i</w:t>
            </w:r>
            <w:r w:rsidRPr="00E94D44">
              <w:rPr>
                <w:i/>
                <w:lang w:val="fr-FR"/>
              </w:rPr>
              <w:t>nventions dans le domaine public – Guide à l</w:t>
            </w:r>
            <w:r w:rsidR="00124AD9" w:rsidRPr="00E94D44">
              <w:rPr>
                <w:i/>
                <w:lang w:val="fr-FR"/>
              </w:rPr>
              <w:t>’</w:t>
            </w:r>
            <w:r w:rsidRPr="00E94D44">
              <w:rPr>
                <w:i/>
                <w:lang w:val="fr-FR"/>
              </w:rPr>
              <w:t>intention des inventeurs et des entrepreneurs</w:t>
            </w:r>
            <w:r w:rsidRPr="00E94D44">
              <w:rPr>
                <w:lang w:val="fr-FR"/>
              </w:rPr>
              <w:t>” et “</w:t>
            </w:r>
            <w:r w:rsidRPr="00E94D44">
              <w:rPr>
                <w:i/>
                <w:iCs/>
                <w:lang w:val="fr-FR"/>
              </w:rPr>
              <w:t>Utilisation des inventions relevant du</w:t>
            </w:r>
            <w:r w:rsidRPr="00E94D44">
              <w:rPr>
                <w:lang w:val="fr-FR"/>
              </w:rPr>
              <w:t xml:space="preserve"> </w:t>
            </w:r>
            <w:r w:rsidRPr="00E94D44">
              <w:rPr>
                <w:i/>
                <w:lang w:val="fr-FR"/>
              </w:rPr>
              <w:t>domaine public – Guide à l</w:t>
            </w:r>
            <w:r w:rsidR="00124AD9" w:rsidRPr="00E94D44">
              <w:rPr>
                <w:i/>
                <w:lang w:val="fr-FR"/>
              </w:rPr>
              <w:t>’</w:t>
            </w:r>
            <w:r w:rsidRPr="00E94D44">
              <w:rPr>
                <w:i/>
                <w:lang w:val="fr-FR"/>
              </w:rPr>
              <w:t>intention des inventeurs et des entrepreneurs</w:t>
            </w:r>
            <w:r w:rsidRPr="00E94D44">
              <w:rPr>
                <w:lang w:val="fr-FR"/>
              </w:rPr>
              <w:t>”</w:t>
            </w:r>
            <w:r w:rsidRPr="00E94D44">
              <w:rPr>
                <w:i/>
                <w:lang w:val="fr-FR"/>
              </w:rPr>
              <w:t xml:space="preserve">.  </w:t>
            </w:r>
            <w:r w:rsidRPr="00E94D44">
              <w:rPr>
                <w:lang w:val="fr-FR"/>
              </w:rPr>
              <w:t>Ce manuel comprenait entre autres un instrument permettant de déterminer s</w:t>
            </w:r>
            <w:r w:rsidR="00124AD9" w:rsidRPr="00E94D44">
              <w:rPr>
                <w:lang w:val="fr-FR"/>
              </w:rPr>
              <w:t>’</w:t>
            </w:r>
            <w:r w:rsidRPr="00E94D44">
              <w:rPr>
                <w:lang w:val="fr-FR"/>
              </w:rPr>
              <w:t>il convient de mener plus avant la mise au point d</w:t>
            </w:r>
            <w:r w:rsidR="00124AD9" w:rsidRPr="00E94D44">
              <w:rPr>
                <w:lang w:val="fr-FR"/>
              </w:rPr>
              <w:t>’</w:t>
            </w:r>
            <w:r w:rsidRPr="00E94D44">
              <w:rPr>
                <w:lang w:val="fr-FR"/>
              </w:rPr>
              <w:t>un nouveau produit en se fondant sur l</w:t>
            </w:r>
            <w:r w:rsidR="00124AD9" w:rsidRPr="00E94D44">
              <w:rPr>
                <w:lang w:val="fr-FR"/>
              </w:rPr>
              <w:t>’</w:t>
            </w:r>
            <w:r w:rsidRPr="00E94D44">
              <w:rPr>
                <w:lang w:val="fr-FR"/>
              </w:rPr>
              <w:t>évaluation de la liberté d</w:t>
            </w:r>
            <w:r w:rsidR="00124AD9" w:rsidRPr="00E94D44">
              <w:rPr>
                <w:lang w:val="fr-FR"/>
              </w:rPr>
              <w:t>’</w:t>
            </w:r>
            <w:r w:rsidRPr="00E94D44">
              <w:rPr>
                <w:lang w:val="fr-FR"/>
              </w:rPr>
              <w:t>exploitati</w:t>
            </w:r>
            <w:r w:rsidR="00C84D5E" w:rsidRPr="00E94D44">
              <w:rPr>
                <w:lang w:val="fr-FR"/>
              </w:rPr>
              <w:t>on.  Le</w:t>
            </w:r>
            <w:r w:rsidRPr="00E94D44">
              <w:rPr>
                <w:lang w:val="fr-FR"/>
              </w:rPr>
              <w:t xml:space="preserve"> projet consistait également à concevoir de nouveaux supports de formation sur l</w:t>
            </w:r>
            <w:r w:rsidR="00124AD9" w:rsidRPr="00E94D44">
              <w:rPr>
                <w:lang w:val="fr-FR"/>
              </w:rPr>
              <w:t>’</w:t>
            </w:r>
            <w:r w:rsidRPr="00E94D44">
              <w:rPr>
                <w:lang w:val="fr-FR"/>
              </w:rPr>
              <w:t>utilisation effective du manuel et à réaliser des séminaires pilotes pour affiner le manuel et les supports de formation.</w:t>
            </w:r>
          </w:p>
        </w:tc>
      </w:tr>
      <w:tr w:rsidR="002A0D44" w:rsidRPr="00E94D44" w14:paraId="32FF22C6" w14:textId="77777777" w:rsidTr="005A5A9F">
        <w:trPr>
          <w:trHeight w:val="441"/>
        </w:trPr>
        <w:tc>
          <w:tcPr>
            <w:tcW w:w="2377" w:type="dxa"/>
            <w:shd w:val="clear" w:color="auto" w:fill="8DB3E1"/>
          </w:tcPr>
          <w:p w14:paraId="0C901637" w14:textId="77777777" w:rsidR="002A0D44" w:rsidRPr="00E94D44" w:rsidRDefault="002A0D44" w:rsidP="009940FE">
            <w:pPr>
              <w:pStyle w:val="ONUMFS"/>
              <w:numPr>
                <w:ilvl w:val="0"/>
                <w:numId w:val="0"/>
              </w:numPr>
              <w:ind w:left="134"/>
              <w:rPr>
                <w:lang w:val="fr-FR"/>
              </w:rPr>
            </w:pPr>
            <w:r w:rsidRPr="00E94D44">
              <w:rPr>
                <w:u w:val="single"/>
                <w:lang w:val="fr-FR"/>
              </w:rPr>
              <w:t>Chef de projet</w:t>
            </w:r>
          </w:p>
        </w:tc>
        <w:tc>
          <w:tcPr>
            <w:tcW w:w="6913" w:type="dxa"/>
          </w:tcPr>
          <w:p w14:paraId="0EB0E2F2" w14:textId="2FD8E9D4" w:rsidR="002A0D44" w:rsidRPr="00E94D44" w:rsidRDefault="002A0D44" w:rsidP="00A430E8">
            <w:pPr>
              <w:pStyle w:val="ONUMFS"/>
              <w:numPr>
                <w:ilvl w:val="0"/>
                <w:numId w:val="0"/>
              </w:numPr>
              <w:ind w:left="160"/>
              <w:rPr>
                <w:lang w:val="fr-FR"/>
              </w:rPr>
            </w:pPr>
            <w:r w:rsidRPr="00E94D44">
              <w:rPr>
                <w:lang w:val="fr-FR"/>
              </w:rPr>
              <w:t>M.</w:t>
            </w:r>
            <w:r w:rsidR="00F10BF2" w:rsidRPr="00E94D44">
              <w:rPr>
                <w:lang w:val="fr-FR"/>
              </w:rPr>
              <w:t> </w:t>
            </w:r>
            <w:r w:rsidRPr="00E94D44">
              <w:rPr>
                <w:lang w:val="fr-FR"/>
              </w:rPr>
              <w:t>Andrew</w:t>
            </w:r>
            <w:r w:rsidR="00F10BF2" w:rsidRPr="00E94D44">
              <w:rPr>
                <w:lang w:val="fr-FR"/>
              </w:rPr>
              <w:t> </w:t>
            </w:r>
            <w:proofErr w:type="spellStart"/>
            <w:r w:rsidRPr="00E94D44">
              <w:rPr>
                <w:lang w:val="fr-FR"/>
              </w:rPr>
              <w:t>Czajkowski</w:t>
            </w:r>
            <w:proofErr w:type="spellEnd"/>
            <w:r w:rsidRPr="00E94D44">
              <w:rPr>
                <w:lang w:val="fr-FR"/>
              </w:rPr>
              <w:t>, directeur, Division de l</w:t>
            </w:r>
            <w:r w:rsidR="00124AD9" w:rsidRPr="00E94D44">
              <w:rPr>
                <w:lang w:val="fr-FR"/>
              </w:rPr>
              <w:t>’</w:t>
            </w:r>
            <w:r w:rsidRPr="00E94D44">
              <w:rPr>
                <w:lang w:val="fr-FR"/>
              </w:rPr>
              <w:t>appui à l</w:t>
            </w:r>
            <w:r w:rsidR="00124AD9" w:rsidRPr="00E94D44">
              <w:rPr>
                <w:lang w:val="fr-FR"/>
              </w:rPr>
              <w:t>’</w:t>
            </w:r>
            <w:r w:rsidRPr="00E94D44">
              <w:rPr>
                <w:lang w:val="fr-FR"/>
              </w:rPr>
              <w:t>innovation et à la technologie, Secteur des écosystèmes de propriété intellectuelle et d</w:t>
            </w:r>
            <w:r w:rsidR="00124AD9" w:rsidRPr="00E94D44">
              <w:rPr>
                <w:lang w:val="fr-FR"/>
              </w:rPr>
              <w:t>’</w:t>
            </w:r>
            <w:r w:rsidRPr="00E94D44">
              <w:rPr>
                <w:lang w:val="fr-FR"/>
              </w:rPr>
              <w:t>innovation</w:t>
            </w:r>
          </w:p>
        </w:tc>
      </w:tr>
      <w:tr w:rsidR="002A0D44" w:rsidRPr="00E94D44" w14:paraId="47D79D10" w14:textId="77777777" w:rsidTr="005A5A9F">
        <w:trPr>
          <w:trHeight w:val="792"/>
        </w:trPr>
        <w:tc>
          <w:tcPr>
            <w:tcW w:w="2377" w:type="dxa"/>
            <w:shd w:val="clear" w:color="auto" w:fill="8DB3E1"/>
          </w:tcPr>
          <w:p w14:paraId="00E5DD00" w14:textId="77777777" w:rsidR="002A0D44" w:rsidRPr="00E94D44" w:rsidRDefault="002A0D44" w:rsidP="009940FE">
            <w:pPr>
              <w:pStyle w:val="ONUMFS"/>
              <w:numPr>
                <w:ilvl w:val="0"/>
                <w:numId w:val="0"/>
              </w:numPr>
              <w:ind w:left="134"/>
              <w:rPr>
                <w:lang w:val="fr-FR"/>
              </w:rPr>
            </w:pPr>
            <w:r w:rsidRPr="00E94D44">
              <w:rPr>
                <w:u w:val="single"/>
                <w:lang w:val="fr-FR"/>
              </w:rPr>
              <w:lastRenderedPageBreak/>
              <w:t>Liens avec les résultats escomptés dans le programme et budget</w:t>
            </w:r>
          </w:p>
        </w:tc>
        <w:tc>
          <w:tcPr>
            <w:tcW w:w="6913" w:type="dxa"/>
          </w:tcPr>
          <w:p w14:paraId="0D5BFF07" w14:textId="6365FDD9" w:rsidR="002A0D44" w:rsidRPr="00E94D44" w:rsidRDefault="002A0D44" w:rsidP="00A430E8">
            <w:pPr>
              <w:pStyle w:val="ONUMFS"/>
              <w:numPr>
                <w:ilvl w:val="0"/>
                <w:numId w:val="0"/>
              </w:numPr>
              <w:ind w:left="160"/>
              <w:rPr>
                <w:lang w:val="fr-FR"/>
              </w:rPr>
            </w:pPr>
            <w:r w:rsidRPr="00E94D44">
              <w:rPr>
                <w:u w:val="single"/>
                <w:lang w:val="fr-FR"/>
              </w:rPr>
              <w:t>Programme et budget pour l</w:t>
            </w:r>
            <w:r w:rsidR="00124AD9" w:rsidRPr="00E94D44">
              <w:rPr>
                <w:u w:val="single"/>
                <w:lang w:val="fr-FR"/>
              </w:rPr>
              <w:t>’</w:t>
            </w:r>
            <w:r w:rsidRPr="00E94D44">
              <w:rPr>
                <w:u w:val="single"/>
                <w:lang w:val="fr-FR"/>
              </w:rPr>
              <w:t>exercice biennal 2022</w:t>
            </w:r>
            <w:r w:rsidR="00510B44" w:rsidRPr="00E94D44">
              <w:rPr>
                <w:u w:val="single"/>
                <w:lang w:val="fr-FR"/>
              </w:rPr>
              <w:noBreakHyphen/>
            </w:r>
            <w:r w:rsidRPr="00E94D44">
              <w:rPr>
                <w:u w:val="single"/>
                <w:lang w:val="fr-FR"/>
              </w:rPr>
              <w:t>2023</w:t>
            </w:r>
            <w:r w:rsidR="00124AD9" w:rsidRPr="00E94D44">
              <w:rPr>
                <w:lang w:val="fr-FR"/>
              </w:rPr>
              <w:t> :</w:t>
            </w:r>
          </w:p>
          <w:p w14:paraId="22D3F673" w14:textId="32F80DFD" w:rsidR="002A0D44" w:rsidRPr="00E94D44" w:rsidRDefault="002A0D44" w:rsidP="00A430E8">
            <w:pPr>
              <w:pStyle w:val="ONUMFS"/>
              <w:numPr>
                <w:ilvl w:val="0"/>
                <w:numId w:val="0"/>
              </w:numPr>
              <w:ind w:left="160"/>
              <w:rPr>
                <w:iCs/>
                <w:lang w:val="fr-FR"/>
              </w:rPr>
            </w:pPr>
            <w:r w:rsidRPr="00E94D44">
              <w:rPr>
                <w:lang w:val="fr-FR"/>
              </w:rPr>
              <w:t>3.3</w:t>
            </w:r>
            <w:r w:rsidR="00124AD9" w:rsidRPr="00E94D44">
              <w:rPr>
                <w:lang w:val="fr-FR"/>
              </w:rPr>
              <w:t> :</w:t>
            </w:r>
            <w:r w:rsidRPr="00E94D44">
              <w:rPr>
                <w:lang w:val="fr-FR"/>
              </w:rPr>
              <w:t xml:space="preserve"> Les plateformes et outils de propriété intellectuelle de l</w:t>
            </w:r>
            <w:r w:rsidR="00124AD9" w:rsidRPr="00E94D44">
              <w:rPr>
                <w:lang w:val="fr-FR"/>
              </w:rPr>
              <w:t>’</w:t>
            </w:r>
            <w:r w:rsidRPr="00E94D44">
              <w:rPr>
                <w:lang w:val="fr-FR"/>
              </w:rPr>
              <w:t>OMPI facilitent le transfert de savoir et l</w:t>
            </w:r>
            <w:r w:rsidR="00124AD9" w:rsidRPr="00E94D44">
              <w:rPr>
                <w:lang w:val="fr-FR"/>
              </w:rPr>
              <w:t>’</w:t>
            </w:r>
            <w:r w:rsidRPr="00E94D44">
              <w:rPr>
                <w:lang w:val="fr-FR"/>
              </w:rPr>
              <w:t>adaptation des technologies pour relever les défis mondiaux.</w:t>
            </w:r>
          </w:p>
          <w:p w14:paraId="38A25D07" w14:textId="30D44D86" w:rsidR="002A0D44" w:rsidRPr="00E94D44" w:rsidRDefault="002A0D44" w:rsidP="00A430E8">
            <w:pPr>
              <w:pStyle w:val="ONUMFS"/>
              <w:numPr>
                <w:ilvl w:val="0"/>
                <w:numId w:val="0"/>
              </w:numPr>
              <w:ind w:left="160"/>
              <w:rPr>
                <w:lang w:val="fr-FR"/>
              </w:rPr>
            </w:pPr>
            <w:r w:rsidRPr="00E94D44">
              <w:rPr>
                <w:lang w:val="fr-FR"/>
              </w:rPr>
              <w:t>4.4</w:t>
            </w:r>
            <w:r w:rsidR="00124AD9" w:rsidRPr="00E94D44">
              <w:rPr>
                <w:lang w:val="fr-FR"/>
              </w:rPr>
              <w:t> :</w:t>
            </w:r>
            <w:r w:rsidRPr="00E94D44">
              <w:rPr>
                <w:lang w:val="fr-FR"/>
              </w:rPr>
              <w:t xml:space="preserve"> Davantage d</w:t>
            </w:r>
            <w:r w:rsidR="00124AD9" w:rsidRPr="00E94D44">
              <w:rPr>
                <w:lang w:val="fr-FR"/>
              </w:rPr>
              <w:t>’</w:t>
            </w:r>
            <w:r w:rsidRPr="00E94D44">
              <w:rPr>
                <w:lang w:val="fr-FR"/>
              </w:rPr>
              <w:t>innovateurs, de créateurs, de PME, d</w:t>
            </w:r>
            <w:r w:rsidR="00124AD9" w:rsidRPr="00E94D44">
              <w:rPr>
                <w:lang w:val="fr-FR"/>
              </w:rPr>
              <w:t>’</w:t>
            </w:r>
            <w:r w:rsidRPr="00E94D44">
              <w:rPr>
                <w:lang w:val="fr-FR"/>
              </w:rPr>
              <w:t>universités, d</w:t>
            </w:r>
            <w:r w:rsidR="00124AD9" w:rsidRPr="00E94D44">
              <w:rPr>
                <w:lang w:val="fr-FR"/>
              </w:rPr>
              <w:t>’</w:t>
            </w:r>
            <w:r w:rsidRPr="00E94D44">
              <w:rPr>
                <w:lang w:val="fr-FR"/>
              </w:rPr>
              <w:t>instituts de recherche et de communautés tirent profit de la propriété intellectuelle.</w:t>
            </w:r>
          </w:p>
        </w:tc>
      </w:tr>
      <w:tr w:rsidR="002A0D44" w:rsidRPr="00E94D44" w14:paraId="3E44F3FC" w14:textId="77777777" w:rsidTr="005A5A9F">
        <w:trPr>
          <w:trHeight w:val="801"/>
        </w:trPr>
        <w:tc>
          <w:tcPr>
            <w:tcW w:w="2377" w:type="dxa"/>
            <w:shd w:val="clear" w:color="auto" w:fill="8DB3E1"/>
          </w:tcPr>
          <w:p w14:paraId="35B143EF" w14:textId="77777777" w:rsidR="002A0D44" w:rsidRPr="00E94D44" w:rsidRDefault="002A0D44" w:rsidP="009940FE">
            <w:pPr>
              <w:pStyle w:val="ONUMFS"/>
              <w:numPr>
                <w:ilvl w:val="0"/>
                <w:numId w:val="0"/>
              </w:numPr>
              <w:ind w:left="134"/>
              <w:rPr>
                <w:lang w:val="fr-FR"/>
              </w:rPr>
            </w:pPr>
            <w:r w:rsidRPr="00E94D44">
              <w:rPr>
                <w:u w:val="single"/>
                <w:lang w:val="fr-FR"/>
              </w:rPr>
              <w:t>Aperçu de la mise en œuvre du projet</w:t>
            </w:r>
          </w:p>
        </w:tc>
        <w:tc>
          <w:tcPr>
            <w:tcW w:w="6913" w:type="dxa"/>
          </w:tcPr>
          <w:p w14:paraId="6C87E87C" w14:textId="7D26249F" w:rsidR="002A0D44" w:rsidRPr="00E94D44" w:rsidRDefault="002A0D44" w:rsidP="00A430E8">
            <w:pPr>
              <w:pStyle w:val="ONUMFS"/>
              <w:numPr>
                <w:ilvl w:val="0"/>
                <w:numId w:val="0"/>
              </w:numPr>
              <w:ind w:left="160"/>
              <w:rPr>
                <w:u w:val="single"/>
                <w:lang w:val="fr-FR"/>
              </w:rPr>
            </w:pPr>
            <w:r w:rsidRPr="00E94D44">
              <w:rPr>
                <w:lang w:val="fr-FR"/>
              </w:rPr>
              <w:t>On trouvera ci</w:t>
            </w:r>
            <w:r w:rsidR="00510B44" w:rsidRPr="00E94D44">
              <w:rPr>
                <w:lang w:val="fr-FR"/>
              </w:rPr>
              <w:noBreakHyphen/>
            </w:r>
            <w:r w:rsidRPr="00E94D44">
              <w:rPr>
                <w:lang w:val="fr-FR"/>
              </w:rPr>
              <w:t>après un aperçu de la mise en œuvre du projet, reposant sur la réalisation de chacun des résultats décrits dans le descriptif de projet approuvé (</w:t>
            </w:r>
            <w:hyperlink r:id="rId12" w:history="1">
              <w:r w:rsidRPr="00E94D44">
                <w:rPr>
                  <w:rStyle w:val="Hyperlink"/>
                  <w:lang w:val="fr-FR"/>
                </w:rPr>
                <w:t>CDIP/27/6</w:t>
              </w:r>
            </w:hyperlink>
            <w:r w:rsidRPr="00E94D44">
              <w:rPr>
                <w:lang w:val="fr-FR"/>
              </w:rPr>
              <w:t>)</w:t>
            </w:r>
            <w:r w:rsidR="00124AD9" w:rsidRPr="00E94D44">
              <w:rPr>
                <w:lang w:val="fr-FR"/>
              </w:rPr>
              <w:t> :</w:t>
            </w:r>
          </w:p>
          <w:p w14:paraId="34EED3E2" w14:textId="5E1D4032" w:rsidR="002A0D44" w:rsidRPr="00E94D44" w:rsidRDefault="002A0D44" w:rsidP="00A430E8">
            <w:pPr>
              <w:pStyle w:val="ONUMFS"/>
              <w:numPr>
                <w:ilvl w:val="0"/>
                <w:numId w:val="14"/>
              </w:numPr>
              <w:ind w:left="160"/>
              <w:rPr>
                <w:b/>
                <w:bCs/>
                <w:lang w:val="fr-FR"/>
              </w:rPr>
            </w:pPr>
            <w:r w:rsidRPr="00E94D44">
              <w:rPr>
                <w:b/>
                <w:lang w:val="fr-FR"/>
              </w:rPr>
              <w:t>Élaboration d</w:t>
            </w:r>
            <w:r w:rsidR="00124AD9" w:rsidRPr="00E94D44">
              <w:rPr>
                <w:b/>
                <w:lang w:val="fr-FR"/>
              </w:rPr>
              <w:t>’</w:t>
            </w:r>
            <w:r w:rsidRPr="00E94D44">
              <w:rPr>
                <w:b/>
                <w:lang w:val="fr-FR"/>
              </w:rPr>
              <w:t>un manuel portant sur les phases essentielles de la mise au point de nouveaux produits ou services et résolution de la question de savoir si une invention est dans le domaine public</w:t>
            </w:r>
          </w:p>
          <w:p w14:paraId="4943623D" w14:textId="00B7AB84" w:rsidR="002A0D44" w:rsidRPr="00E94D44" w:rsidRDefault="002A0D44" w:rsidP="00A430E8">
            <w:pPr>
              <w:pStyle w:val="ONUMFS"/>
              <w:numPr>
                <w:ilvl w:val="0"/>
                <w:numId w:val="0"/>
              </w:numPr>
              <w:ind w:left="160"/>
              <w:rPr>
                <w:lang w:val="fr-FR"/>
              </w:rPr>
            </w:pPr>
            <w:r w:rsidRPr="00E94D44">
              <w:rPr>
                <w:lang w:val="fr-FR"/>
              </w:rPr>
              <w:t>Ce projet s</w:t>
            </w:r>
            <w:r w:rsidR="00124AD9" w:rsidRPr="00E94D44">
              <w:rPr>
                <w:lang w:val="fr-FR"/>
              </w:rPr>
              <w:t>’</w:t>
            </w:r>
            <w:r w:rsidRPr="00E94D44">
              <w:rPr>
                <w:lang w:val="fr-FR"/>
              </w:rPr>
              <w:t>est appuyé sur les résultats d</w:t>
            </w:r>
            <w:r w:rsidR="00124AD9" w:rsidRPr="00E94D44">
              <w:rPr>
                <w:lang w:val="fr-FR"/>
              </w:rPr>
              <w:t>’</w:t>
            </w:r>
            <w:r w:rsidRPr="00E94D44">
              <w:rPr>
                <w:lang w:val="fr-FR"/>
              </w:rPr>
              <w:t>un ancien projet du Plan d</w:t>
            </w:r>
            <w:r w:rsidR="00124AD9" w:rsidRPr="00E94D44">
              <w:rPr>
                <w:lang w:val="fr-FR"/>
              </w:rPr>
              <w:t>’</w:t>
            </w:r>
            <w:r w:rsidRPr="00E94D44">
              <w:rPr>
                <w:lang w:val="fr-FR"/>
              </w:rPr>
              <w:t>action pour le développement relatif à l</w:t>
            </w:r>
            <w:r w:rsidR="00124AD9" w:rsidRPr="00E94D44">
              <w:rPr>
                <w:lang w:val="fr-FR"/>
              </w:rPr>
              <w:t>’</w:t>
            </w:r>
            <w:r w:rsidRPr="00E94D44">
              <w:rPr>
                <w:i/>
                <w:lang w:val="fr-FR"/>
              </w:rPr>
              <w:t>utilisation de l</w:t>
            </w:r>
            <w:r w:rsidR="00124AD9" w:rsidRPr="00E94D44">
              <w:rPr>
                <w:i/>
                <w:lang w:val="fr-FR"/>
              </w:rPr>
              <w:t>’</w:t>
            </w:r>
            <w:r w:rsidRPr="00E94D44">
              <w:rPr>
                <w:i/>
                <w:lang w:val="fr-FR"/>
              </w:rPr>
              <w:t>information figurant dans le domaine public aux fins du développement économique,</w:t>
            </w:r>
            <w:r w:rsidRPr="00E94D44">
              <w:rPr>
                <w:lang w:val="fr-FR"/>
              </w:rPr>
              <w:t xml:space="preserve"> et notamment la publication des deux</w:t>
            </w:r>
            <w:r w:rsidR="00E1082F" w:rsidRPr="00E94D44">
              <w:rPr>
                <w:lang w:val="fr-FR"/>
              </w:rPr>
              <w:t> </w:t>
            </w:r>
            <w:r w:rsidRPr="00E94D44">
              <w:rPr>
                <w:lang w:val="fr-FR"/>
              </w:rPr>
              <w:t>guides suivants</w:t>
            </w:r>
            <w:r w:rsidR="00124AD9" w:rsidRPr="00E94D44">
              <w:rPr>
                <w:lang w:val="fr-FR"/>
              </w:rPr>
              <w:t> :</w:t>
            </w:r>
          </w:p>
          <w:p w14:paraId="2E1187A9" w14:textId="213B87D9" w:rsidR="00124AD9" w:rsidRPr="00E94D44" w:rsidRDefault="002A0D44" w:rsidP="00A430E8">
            <w:pPr>
              <w:pStyle w:val="ONUMFS"/>
              <w:numPr>
                <w:ilvl w:val="0"/>
                <w:numId w:val="15"/>
              </w:numPr>
              <w:ind w:left="1010" w:hanging="567"/>
              <w:rPr>
                <w:lang w:val="fr-FR"/>
              </w:rPr>
            </w:pPr>
            <w:r w:rsidRPr="00E94D44">
              <w:rPr>
                <w:lang w:val="fr-FR"/>
              </w:rPr>
              <w:t>“</w:t>
            </w:r>
            <w:r w:rsidRPr="00E94D44">
              <w:rPr>
                <w:i/>
                <w:iCs/>
                <w:lang w:val="fr-FR"/>
              </w:rPr>
              <w:t>Recensement des i</w:t>
            </w:r>
            <w:r w:rsidRPr="00E94D44">
              <w:rPr>
                <w:i/>
                <w:lang w:val="fr-FR"/>
              </w:rPr>
              <w:t>nventions dans le domaine public – Guide à l</w:t>
            </w:r>
            <w:r w:rsidR="00124AD9" w:rsidRPr="00E94D44">
              <w:rPr>
                <w:i/>
                <w:lang w:val="fr-FR"/>
              </w:rPr>
              <w:t>’</w:t>
            </w:r>
            <w:r w:rsidRPr="00E94D44">
              <w:rPr>
                <w:i/>
                <w:lang w:val="fr-FR"/>
              </w:rPr>
              <w:t>intention des inventeurs et des entrepreneurs</w:t>
            </w:r>
            <w:r w:rsidRPr="00E94D44">
              <w:rPr>
                <w:lang w:val="fr-FR"/>
              </w:rPr>
              <w:t>” (OMPI, 2020</w:t>
            </w:r>
            <w:proofErr w:type="gramStart"/>
            <w:r w:rsidRPr="00E94D44">
              <w:rPr>
                <w:lang w:val="fr-FR"/>
              </w:rPr>
              <w:t>)</w:t>
            </w:r>
            <w:r w:rsidR="00E1082F" w:rsidRPr="00E94D44">
              <w:rPr>
                <w:lang w:val="fr-FR"/>
              </w:rPr>
              <w:t xml:space="preserve">; </w:t>
            </w:r>
            <w:r w:rsidRPr="00E94D44">
              <w:rPr>
                <w:lang w:val="fr-FR"/>
              </w:rPr>
              <w:t xml:space="preserve"> et</w:t>
            </w:r>
            <w:proofErr w:type="gramEnd"/>
          </w:p>
          <w:p w14:paraId="17BB384A" w14:textId="74258BF6" w:rsidR="002A0D44" w:rsidRPr="00E94D44" w:rsidRDefault="002A0D44" w:rsidP="00A430E8">
            <w:pPr>
              <w:pStyle w:val="ONUMFS"/>
              <w:numPr>
                <w:ilvl w:val="0"/>
                <w:numId w:val="15"/>
              </w:numPr>
              <w:ind w:left="1010" w:hanging="567"/>
              <w:rPr>
                <w:lang w:val="fr-FR"/>
              </w:rPr>
            </w:pPr>
            <w:r w:rsidRPr="00E94D44">
              <w:rPr>
                <w:lang w:val="fr-FR"/>
              </w:rPr>
              <w:t>“</w:t>
            </w:r>
            <w:r w:rsidRPr="00E94D44">
              <w:rPr>
                <w:i/>
                <w:iCs/>
                <w:lang w:val="fr-FR"/>
              </w:rPr>
              <w:t>Utilisation des inventions relevant du</w:t>
            </w:r>
            <w:r w:rsidRPr="00E94D44">
              <w:rPr>
                <w:lang w:val="fr-FR"/>
              </w:rPr>
              <w:t xml:space="preserve"> </w:t>
            </w:r>
            <w:r w:rsidRPr="00E94D44">
              <w:rPr>
                <w:i/>
                <w:lang w:val="fr-FR"/>
              </w:rPr>
              <w:t>domaine public – Guide à l</w:t>
            </w:r>
            <w:r w:rsidR="00124AD9" w:rsidRPr="00E94D44">
              <w:rPr>
                <w:i/>
                <w:lang w:val="fr-FR"/>
              </w:rPr>
              <w:t>’</w:t>
            </w:r>
            <w:r w:rsidRPr="00E94D44">
              <w:rPr>
                <w:i/>
                <w:lang w:val="fr-FR"/>
              </w:rPr>
              <w:t>intention des inventeurs et des entrepreneurs</w:t>
            </w:r>
            <w:r w:rsidRPr="00E94D44">
              <w:rPr>
                <w:lang w:val="fr-FR"/>
              </w:rPr>
              <w:t>” (OMPI, 2020)</w:t>
            </w:r>
            <w:r w:rsidRPr="00E94D44">
              <w:rPr>
                <w:i/>
                <w:lang w:val="fr-FR"/>
              </w:rPr>
              <w:t>.</w:t>
            </w:r>
          </w:p>
          <w:p w14:paraId="740B15C4" w14:textId="7DD7A380" w:rsidR="00124AD9" w:rsidRPr="00E94D44" w:rsidRDefault="002A0D44" w:rsidP="00A430E8">
            <w:pPr>
              <w:pStyle w:val="ONUMFS"/>
              <w:numPr>
                <w:ilvl w:val="0"/>
                <w:numId w:val="0"/>
              </w:numPr>
              <w:ind w:left="160"/>
              <w:rPr>
                <w:lang w:val="fr-FR"/>
              </w:rPr>
            </w:pPr>
            <w:r w:rsidRPr="00E94D44">
              <w:rPr>
                <w:lang w:val="fr-FR"/>
              </w:rPr>
              <w:t>Pour étayer les principes et procédures décrits dans ces deux guides, l</w:t>
            </w:r>
            <w:r w:rsidR="00124AD9" w:rsidRPr="00E94D44">
              <w:rPr>
                <w:lang w:val="fr-FR"/>
              </w:rPr>
              <w:t>’</w:t>
            </w:r>
            <w:r w:rsidRPr="00E94D44">
              <w:rPr>
                <w:lang w:val="fr-FR"/>
              </w:rPr>
              <w:t>un des principaux résultats du projet a consisté à élaborer une série d</w:t>
            </w:r>
            <w:r w:rsidR="00124AD9" w:rsidRPr="00E94D44">
              <w:rPr>
                <w:lang w:val="fr-FR"/>
              </w:rPr>
              <w:t>’</w:t>
            </w:r>
            <w:r w:rsidRPr="00E94D44">
              <w:rPr>
                <w:lang w:val="fr-FR"/>
              </w:rPr>
              <w:t>outils pratiques qui complètent les guides en permettant de collecter et d</w:t>
            </w:r>
            <w:r w:rsidR="00124AD9" w:rsidRPr="00E94D44">
              <w:rPr>
                <w:lang w:val="fr-FR"/>
              </w:rPr>
              <w:t>’</w:t>
            </w:r>
            <w:r w:rsidRPr="00E94D44">
              <w:rPr>
                <w:lang w:val="fr-FR"/>
              </w:rPr>
              <w:t>analyser des données pour évaluer une initiative de mise au point de nouveaux produits et de soutenir la prise de décision en matière de mise au point de nouveaux produits et services fondés sur des inventions relevant du domaine public.</w:t>
            </w:r>
          </w:p>
          <w:p w14:paraId="369F0C42" w14:textId="03D75FB6" w:rsidR="00124AD9" w:rsidRPr="00E94D44" w:rsidRDefault="002A0D44" w:rsidP="00A430E8">
            <w:pPr>
              <w:pStyle w:val="ONUMFS"/>
              <w:numPr>
                <w:ilvl w:val="0"/>
                <w:numId w:val="0"/>
              </w:numPr>
              <w:ind w:left="160"/>
              <w:rPr>
                <w:lang w:val="fr-FR"/>
              </w:rPr>
            </w:pPr>
            <w:r w:rsidRPr="00E94D44">
              <w:rPr>
                <w:lang w:val="fr-FR"/>
              </w:rPr>
              <w:t>Ces outils pratiques font partie d</w:t>
            </w:r>
            <w:r w:rsidR="00124AD9" w:rsidRPr="00E94D44">
              <w:rPr>
                <w:lang w:val="fr-FR"/>
              </w:rPr>
              <w:t>’</w:t>
            </w:r>
            <w:r w:rsidRPr="00E94D44">
              <w:rPr>
                <w:lang w:val="fr-FR"/>
              </w:rPr>
              <w:t>un manuel utilisé dans le cadre d</w:t>
            </w:r>
            <w:r w:rsidR="00124AD9" w:rsidRPr="00E94D44">
              <w:rPr>
                <w:lang w:val="fr-FR"/>
              </w:rPr>
              <w:t>’</w:t>
            </w:r>
            <w:r w:rsidRPr="00E94D44">
              <w:rPr>
                <w:lang w:val="fr-FR"/>
              </w:rPr>
              <w:t>un processus de mise au point de nouveaux produits en plusieurs phases et points de contrôle, qui comprend</w:t>
            </w:r>
            <w:r w:rsidR="00124AD9" w:rsidRPr="00E94D44">
              <w:rPr>
                <w:lang w:val="fr-FR"/>
              </w:rPr>
              <w:t> :</w:t>
            </w:r>
            <w:r w:rsidRPr="00E94D44">
              <w:rPr>
                <w:lang w:val="fr-FR"/>
              </w:rPr>
              <w:t xml:space="preserve"> l</w:t>
            </w:r>
            <w:r w:rsidR="00124AD9" w:rsidRPr="00E94D44">
              <w:rPr>
                <w:lang w:val="fr-FR"/>
              </w:rPr>
              <w:t>’</w:t>
            </w:r>
            <w:r w:rsidRPr="00E94D44">
              <w:rPr>
                <w:lang w:val="fr-FR"/>
              </w:rPr>
              <w:t>élaboration d</w:t>
            </w:r>
            <w:r w:rsidR="00124AD9" w:rsidRPr="00E94D44">
              <w:rPr>
                <w:lang w:val="fr-FR"/>
              </w:rPr>
              <w:t>’</w:t>
            </w:r>
            <w:r w:rsidRPr="00E94D44">
              <w:rPr>
                <w:lang w:val="fr-FR"/>
              </w:rPr>
              <w:t>une charte de projet de mise au point de nouveaux produits et d</w:t>
            </w:r>
            <w:r w:rsidR="00124AD9" w:rsidRPr="00E94D44">
              <w:rPr>
                <w:lang w:val="fr-FR"/>
              </w:rPr>
              <w:t>’</w:t>
            </w:r>
            <w:r w:rsidRPr="00E94D44">
              <w:rPr>
                <w:lang w:val="fr-FR"/>
              </w:rPr>
              <w:t>un plan d</w:t>
            </w:r>
            <w:r w:rsidR="00124AD9" w:rsidRPr="00E94D44">
              <w:rPr>
                <w:lang w:val="fr-FR"/>
              </w:rPr>
              <w:t>’</w:t>
            </w:r>
            <w:r w:rsidRPr="00E94D44">
              <w:rPr>
                <w:lang w:val="fr-FR"/>
              </w:rPr>
              <w:t>action, l</w:t>
            </w:r>
            <w:r w:rsidR="00124AD9" w:rsidRPr="00E94D44">
              <w:rPr>
                <w:lang w:val="fr-FR"/>
              </w:rPr>
              <w:t>’</w:t>
            </w:r>
            <w:r w:rsidRPr="00E94D44">
              <w:rPr>
                <w:lang w:val="fr-FR"/>
              </w:rPr>
              <w:t>écoute du client, l</w:t>
            </w:r>
            <w:r w:rsidR="00124AD9" w:rsidRPr="00E94D44">
              <w:rPr>
                <w:lang w:val="fr-FR"/>
              </w:rPr>
              <w:t>’</w:t>
            </w:r>
            <w:r w:rsidRPr="00E94D44">
              <w:rPr>
                <w:lang w:val="fr-FR"/>
              </w:rPr>
              <w:t>identification des sources d</w:t>
            </w:r>
            <w:r w:rsidR="00124AD9" w:rsidRPr="00E94D44">
              <w:rPr>
                <w:lang w:val="fr-FR"/>
              </w:rPr>
              <w:t>’</w:t>
            </w:r>
            <w:r w:rsidRPr="00E94D44">
              <w:rPr>
                <w:lang w:val="fr-FR"/>
              </w:rPr>
              <w:t>avantage concurrentiel, la collecte et l</w:t>
            </w:r>
            <w:r w:rsidR="00124AD9" w:rsidRPr="00E94D44">
              <w:rPr>
                <w:lang w:val="fr-FR"/>
              </w:rPr>
              <w:t>’</w:t>
            </w:r>
            <w:r w:rsidRPr="00E94D44">
              <w:rPr>
                <w:lang w:val="fr-FR"/>
              </w:rPr>
              <w:t>analyse de données en vue de la définition de la liberté d</w:t>
            </w:r>
            <w:r w:rsidR="00124AD9" w:rsidRPr="00E94D44">
              <w:rPr>
                <w:lang w:val="fr-FR"/>
              </w:rPr>
              <w:t>’</w:t>
            </w:r>
            <w:r w:rsidRPr="00E94D44">
              <w:rPr>
                <w:lang w:val="fr-FR"/>
              </w:rPr>
              <w:t>exploitation, ainsi que l</w:t>
            </w:r>
            <w:r w:rsidR="00124AD9" w:rsidRPr="00E94D44">
              <w:rPr>
                <w:lang w:val="fr-FR"/>
              </w:rPr>
              <w:t>’</w:t>
            </w:r>
            <w:r w:rsidRPr="00E94D44">
              <w:rPr>
                <w:lang w:val="fr-FR"/>
              </w:rPr>
              <w:t>analyse de la chaîne de valeur et des points forts, des points faibles, des possibilités et des risqu</w:t>
            </w:r>
            <w:r w:rsidR="00C84D5E" w:rsidRPr="00E94D44">
              <w:rPr>
                <w:lang w:val="fr-FR"/>
              </w:rPr>
              <w:t>es.  Le</w:t>
            </w:r>
            <w:r w:rsidRPr="00E94D44">
              <w:rPr>
                <w:lang w:val="fr-FR"/>
              </w:rPr>
              <w:t xml:space="preserve"> manuel comprend sept</w:t>
            </w:r>
            <w:r w:rsidR="00E1082F" w:rsidRPr="00E94D44">
              <w:rPr>
                <w:lang w:val="fr-FR"/>
              </w:rPr>
              <w:t> </w:t>
            </w:r>
            <w:r w:rsidRPr="00E94D44">
              <w:rPr>
                <w:lang w:val="fr-FR"/>
              </w:rPr>
              <w:t>outils sur les thèmes susmentionnés, accompagnés de descriptions et d</w:t>
            </w:r>
            <w:r w:rsidR="00124AD9" w:rsidRPr="00E94D44">
              <w:rPr>
                <w:lang w:val="fr-FR"/>
              </w:rPr>
              <w:t>’</w:t>
            </w:r>
            <w:r w:rsidRPr="00E94D44">
              <w:rPr>
                <w:lang w:val="fr-FR"/>
              </w:rPr>
              <w:t>exemples pratiques sur la manière d</w:t>
            </w:r>
            <w:r w:rsidR="00124AD9" w:rsidRPr="00E94D44">
              <w:rPr>
                <w:lang w:val="fr-FR"/>
              </w:rPr>
              <w:t>’</w:t>
            </w:r>
            <w:r w:rsidRPr="00E94D44">
              <w:rPr>
                <w:lang w:val="fr-FR"/>
              </w:rPr>
              <w:t>utiliser chaque outil.</w:t>
            </w:r>
          </w:p>
          <w:p w14:paraId="54D55600" w14:textId="787F79DB" w:rsidR="002A0D44" w:rsidRPr="00E94D44" w:rsidRDefault="002A0D44" w:rsidP="00A430E8">
            <w:pPr>
              <w:pStyle w:val="ONUMFS"/>
              <w:numPr>
                <w:ilvl w:val="0"/>
                <w:numId w:val="0"/>
              </w:numPr>
              <w:ind w:left="160"/>
              <w:rPr>
                <w:lang w:val="fr-FR"/>
              </w:rPr>
            </w:pPr>
            <w:r w:rsidRPr="00E94D44">
              <w:rPr>
                <w:lang w:val="fr-FR"/>
              </w:rPr>
              <w:t>Pour élaborer le contenu du manuel, le Secrétariat a engagé un prestataire de services possédant les compétences nécessaires dans le domaine de la mise au point de nouveaux produits, la commercialisation et le transfert de technologie et ayant déjà dispensé des formations sur ces thèmes à un large public, notamment dans des pays en développement.  Le prestataire a également été retenu compte tenu du fait qu</w:t>
            </w:r>
            <w:r w:rsidR="00124AD9" w:rsidRPr="00E94D44">
              <w:rPr>
                <w:lang w:val="fr-FR"/>
              </w:rPr>
              <w:t>’</w:t>
            </w:r>
            <w:r w:rsidRPr="00E94D44">
              <w:rPr>
                <w:lang w:val="fr-FR"/>
              </w:rPr>
              <w:t>il connaissait aussi parfaitement les guides de l</w:t>
            </w:r>
            <w:r w:rsidR="00124AD9" w:rsidRPr="00E94D44">
              <w:rPr>
                <w:lang w:val="fr-FR"/>
              </w:rPr>
              <w:t>’</w:t>
            </w:r>
            <w:r w:rsidRPr="00E94D44">
              <w:rPr>
                <w:lang w:val="fr-FR"/>
              </w:rPr>
              <w:t>OMPI, car il avait contribué au processus d</w:t>
            </w:r>
            <w:r w:rsidR="00124AD9" w:rsidRPr="00E94D44">
              <w:rPr>
                <w:lang w:val="fr-FR"/>
              </w:rPr>
              <w:t>’</w:t>
            </w:r>
            <w:r w:rsidRPr="00E94D44">
              <w:rPr>
                <w:lang w:val="fr-FR"/>
              </w:rPr>
              <w:t>évaluation collégiale dans le cadre du projet du Plan d</w:t>
            </w:r>
            <w:r w:rsidR="00124AD9" w:rsidRPr="00E94D44">
              <w:rPr>
                <w:lang w:val="fr-FR"/>
              </w:rPr>
              <w:t>’</w:t>
            </w:r>
            <w:r w:rsidRPr="00E94D44">
              <w:rPr>
                <w:lang w:val="fr-FR"/>
              </w:rPr>
              <w:t>action pour le développement relatif à l</w:t>
            </w:r>
            <w:r w:rsidR="00124AD9" w:rsidRPr="00E94D44">
              <w:rPr>
                <w:lang w:val="fr-FR"/>
              </w:rPr>
              <w:t>’</w:t>
            </w:r>
            <w:r w:rsidRPr="00E94D44">
              <w:rPr>
                <w:i/>
                <w:iCs/>
                <w:lang w:val="fr-FR"/>
              </w:rPr>
              <w:t>utilisation de l</w:t>
            </w:r>
            <w:r w:rsidR="00124AD9" w:rsidRPr="00E94D44">
              <w:rPr>
                <w:i/>
                <w:iCs/>
                <w:lang w:val="fr-FR"/>
              </w:rPr>
              <w:t>’</w:t>
            </w:r>
            <w:r w:rsidRPr="00E94D44">
              <w:rPr>
                <w:i/>
                <w:iCs/>
                <w:lang w:val="fr-FR"/>
              </w:rPr>
              <w:t>information figurant dans le domaine public aux fins du développement économique</w:t>
            </w:r>
            <w:r w:rsidRPr="00E94D44">
              <w:rPr>
                <w:lang w:val="fr-FR"/>
              </w:rPr>
              <w:t>, dont découlait ce projet.</w:t>
            </w:r>
          </w:p>
          <w:p w14:paraId="135EEDF0" w14:textId="0E5EBD89" w:rsidR="00124AD9" w:rsidRPr="00E94D44" w:rsidRDefault="002A0D44" w:rsidP="00A430E8">
            <w:pPr>
              <w:pStyle w:val="ONUMFS"/>
              <w:numPr>
                <w:ilvl w:val="0"/>
                <w:numId w:val="0"/>
              </w:numPr>
              <w:ind w:left="160"/>
              <w:rPr>
                <w:lang w:val="fr-FR"/>
              </w:rPr>
            </w:pPr>
            <w:r w:rsidRPr="00E94D44">
              <w:rPr>
                <w:lang w:val="fr-FR"/>
              </w:rPr>
              <w:t>Pour garantir que le contenu du manuel tienne dûment compte de certains aspects des inventions relevant du domaine public et de la propriété intellectuelle, et pour permettre une évaluation adéquate des risques d</w:t>
            </w:r>
            <w:r w:rsidR="00124AD9" w:rsidRPr="00E94D44">
              <w:rPr>
                <w:lang w:val="fr-FR"/>
              </w:rPr>
              <w:t>’</w:t>
            </w:r>
            <w:r w:rsidRPr="00E94D44">
              <w:rPr>
                <w:lang w:val="fr-FR"/>
              </w:rPr>
              <w:t>un point de vue juridique, le projet de contenu a aussi fait l</w:t>
            </w:r>
            <w:r w:rsidR="00124AD9" w:rsidRPr="00E94D44">
              <w:rPr>
                <w:lang w:val="fr-FR"/>
              </w:rPr>
              <w:t>’</w:t>
            </w:r>
            <w:r w:rsidRPr="00E94D44">
              <w:rPr>
                <w:lang w:val="fr-FR"/>
              </w:rPr>
              <w:t>objet d</w:t>
            </w:r>
            <w:r w:rsidR="00124AD9" w:rsidRPr="00E94D44">
              <w:rPr>
                <w:lang w:val="fr-FR"/>
              </w:rPr>
              <w:t>’</w:t>
            </w:r>
            <w:r w:rsidRPr="00E94D44">
              <w:rPr>
                <w:lang w:val="fr-FR"/>
              </w:rPr>
              <w:t>une évaluation collégiale de la part d</w:t>
            </w:r>
            <w:r w:rsidR="00124AD9" w:rsidRPr="00E94D44">
              <w:rPr>
                <w:lang w:val="fr-FR"/>
              </w:rPr>
              <w:t>’</w:t>
            </w:r>
            <w:r w:rsidRPr="00E94D44">
              <w:rPr>
                <w:lang w:val="fr-FR"/>
              </w:rPr>
              <w:t>un juriste et d</w:t>
            </w:r>
            <w:r w:rsidR="00124AD9" w:rsidRPr="00E94D44">
              <w:rPr>
                <w:lang w:val="fr-FR"/>
              </w:rPr>
              <w:t>’</w:t>
            </w:r>
            <w:r w:rsidRPr="00E94D44">
              <w:rPr>
                <w:lang w:val="fr-FR"/>
              </w:rPr>
              <w:t>un spécialiste du droit de la propriété intellectuel</w:t>
            </w:r>
            <w:r w:rsidR="00C84D5E" w:rsidRPr="00E94D44">
              <w:rPr>
                <w:lang w:val="fr-FR"/>
              </w:rPr>
              <w:t>le.  Le</w:t>
            </w:r>
            <w:r w:rsidRPr="00E94D44">
              <w:rPr>
                <w:lang w:val="fr-FR"/>
              </w:rPr>
              <w:t>s recommandations issues de l</w:t>
            </w:r>
            <w:r w:rsidR="00124AD9" w:rsidRPr="00E94D44">
              <w:rPr>
                <w:lang w:val="fr-FR"/>
              </w:rPr>
              <w:t>’</w:t>
            </w:r>
            <w:r w:rsidRPr="00E94D44">
              <w:rPr>
                <w:lang w:val="fr-FR"/>
              </w:rPr>
              <w:t>évaluation collégiale ont ensuite été prises en considération et intégrées dans les documents définitifs.</w:t>
            </w:r>
          </w:p>
          <w:p w14:paraId="1EF50ECB" w14:textId="748DB505" w:rsidR="002A0D44" w:rsidRPr="00E94D44" w:rsidRDefault="002A0D44" w:rsidP="00A430E8">
            <w:pPr>
              <w:pStyle w:val="ONUMFS"/>
              <w:ind w:left="160"/>
              <w:rPr>
                <w:b/>
                <w:bCs/>
                <w:lang w:val="fr-FR"/>
              </w:rPr>
            </w:pPr>
            <w:r w:rsidRPr="00E94D44">
              <w:rPr>
                <w:b/>
                <w:lang w:val="fr-FR"/>
              </w:rPr>
              <w:t>Élaboration des supports de formation à l</w:t>
            </w:r>
            <w:r w:rsidR="00124AD9" w:rsidRPr="00E94D44">
              <w:rPr>
                <w:b/>
                <w:lang w:val="fr-FR"/>
              </w:rPr>
              <w:t>’</w:t>
            </w:r>
            <w:r w:rsidRPr="00E94D44">
              <w:rPr>
                <w:b/>
                <w:lang w:val="fr-FR"/>
              </w:rPr>
              <w:t>intention</w:t>
            </w:r>
            <w:r w:rsidR="00124AD9" w:rsidRPr="00E94D44">
              <w:rPr>
                <w:b/>
                <w:lang w:val="fr-FR"/>
              </w:rPr>
              <w:t xml:space="preserve"> des CAT</w:t>
            </w:r>
            <w:r w:rsidRPr="00E94D44">
              <w:rPr>
                <w:b/>
                <w:lang w:val="fr-FR"/>
              </w:rPr>
              <w:t>I</w:t>
            </w:r>
          </w:p>
          <w:p w14:paraId="56AA533A" w14:textId="7423C6ED" w:rsidR="00124AD9" w:rsidRPr="00E94D44" w:rsidRDefault="002A0D44" w:rsidP="00A430E8">
            <w:pPr>
              <w:pStyle w:val="ONUMFS"/>
              <w:numPr>
                <w:ilvl w:val="0"/>
                <w:numId w:val="0"/>
              </w:numPr>
              <w:ind w:left="160"/>
              <w:rPr>
                <w:lang w:val="fr-FR"/>
              </w:rPr>
            </w:pPr>
            <w:r w:rsidRPr="00E94D44">
              <w:rPr>
                <w:lang w:val="fr-FR"/>
              </w:rPr>
              <w:t>Un ensemble de supports de formation, créé dans le cadre du projet, jette les bases d</w:t>
            </w:r>
            <w:r w:rsidR="00124AD9" w:rsidRPr="00E94D44">
              <w:rPr>
                <w:lang w:val="fr-FR"/>
              </w:rPr>
              <w:t>’</w:t>
            </w:r>
            <w:r w:rsidRPr="00E94D44">
              <w:rPr>
                <w:lang w:val="fr-FR"/>
              </w:rPr>
              <w:t>une nouvelle méthode d</w:t>
            </w:r>
            <w:r w:rsidR="00124AD9" w:rsidRPr="00E94D44">
              <w:rPr>
                <w:lang w:val="fr-FR"/>
              </w:rPr>
              <w:t>’</w:t>
            </w:r>
            <w:r w:rsidRPr="00E94D44">
              <w:rPr>
                <w:lang w:val="fr-FR"/>
              </w:rPr>
              <w:t>apprentissage mixte et modulaire visant à permettre aux utilisateurs d</w:t>
            </w:r>
            <w:r w:rsidR="00124AD9" w:rsidRPr="00E94D44">
              <w:rPr>
                <w:lang w:val="fr-FR"/>
              </w:rPr>
              <w:t>’</w:t>
            </w:r>
            <w:r w:rsidRPr="00E94D44">
              <w:rPr>
                <w:lang w:val="fr-FR"/>
              </w:rPr>
              <w:t>acquérir des connaissances et des compétences pour utiliser les outils inclus dans le manuel susmentionné.</w:t>
            </w:r>
          </w:p>
          <w:p w14:paraId="5B3C37EE" w14:textId="41438BBD" w:rsidR="00124AD9" w:rsidRPr="00E94D44" w:rsidRDefault="002A0D44" w:rsidP="00A430E8">
            <w:pPr>
              <w:pStyle w:val="ONUMFS"/>
              <w:numPr>
                <w:ilvl w:val="0"/>
                <w:numId w:val="0"/>
              </w:numPr>
              <w:ind w:left="160"/>
              <w:rPr>
                <w:lang w:val="fr-FR"/>
              </w:rPr>
            </w:pPr>
            <w:r w:rsidRPr="00E94D44">
              <w:rPr>
                <w:lang w:val="fr-FR"/>
              </w:rPr>
              <w:t>Le programme de formation se compose d</w:t>
            </w:r>
            <w:r w:rsidR="00124AD9" w:rsidRPr="00E94D44">
              <w:rPr>
                <w:lang w:val="fr-FR"/>
              </w:rPr>
              <w:t>’</w:t>
            </w:r>
            <w:r w:rsidRPr="00E94D44">
              <w:rPr>
                <w:lang w:val="fr-FR"/>
              </w:rPr>
              <w:t>un guide de l</w:t>
            </w:r>
            <w:r w:rsidR="00124AD9" w:rsidRPr="00E94D44">
              <w:rPr>
                <w:lang w:val="fr-FR"/>
              </w:rPr>
              <w:t>’</w:t>
            </w:r>
            <w:r w:rsidRPr="00E94D44">
              <w:rPr>
                <w:lang w:val="fr-FR"/>
              </w:rPr>
              <w:t>apprenant et de supports pédagogiques par modules visant à soutenir la formation pratique sur le manuel.  Il comprend</w:t>
            </w:r>
            <w:r w:rsidR="00124AD9" w:rsidRPr="00E94D44">
              <w:rPr>
                <w:lang w:val="fr-FR"/>
              </w:rPr>
              <w:t> :</w:t>
            </w:r>
            <w:r w:rsidRPr="00E94D44">
              <w:rPr>
                <w:lang w:val="fr-FR"/>
              </w:rPr>
              <w:t xml:space="preserve"> i)</w:t>
            </w:r>
            <w:r w:rsidR="00E1082F" w:rsidRPr="00E94D44">
              <w:rPr>
                <w:lang w:val="fr-FR"/>
              </w:rPr>
              <w:t> </w:t>
            </w:r>
            <w:r w:rsidRPr="00E94D44">
              <w:rPr>
                <w:lang w:val="fr-FR"/>
              </w:rPr>
              <w:t>des vidéos explicatives qui présentent les grandes notions et mettent en lumière le rôle de chaque outil à l</w:t>
            </w:r>
            <w:r w:rsidR="00124AD9" w:rsidRPr="00E94D44">
              <w:rPr>
                <w:lang w:val="fr-FR"/>
              </w:rPr>
              <w:t>’</w:t>
            </w:r>
            <w:r w:rsidRPr="00E94D44">
              <w:rPr>
                <w:lang w:val="fr-FR"/>
              </w:rPr>
              <w:t xml:space="preserve">appui du processus décisionnel à chaque étape de la mise au point de nouveaux </w:t>
            </w:r>
            <w:proofErr w:type="gramStart"/>
            <w:r w:rsidRPr="00E94D44">
              <w:rPr>
                <w:lang w:val="fr-FR"/>
              </w:rPr>
              <w:t>produits</w:t>
            </w:r>
            <w:r w:rsidR="00E1082F" w:rsidRPr="00E94D44">
              <w:rPr>
                <w:lang w:val="fr-FR"/>
              </w:rPr>
              <w:t xml:space="preserve">; </w:t>
            </w:r>
            <w:r w:rsidRPr="00E94D44">
              <w:rPr>
                <w:lang w:val="fr-FR"/>
              </w:rPr>
              <w:t xml:space="preserve"> et</w:t>
            </w:r>
            <w:proofErr w:type="gramEnd"/>
            <w:r w:rsidRPr="00E94D44">
              <w:rPr>
                <w:lang w:val="fr-FR"/>
              </w:rPr>
              <w:t xml:space="preserve"> ii)</w:t>
            </w:r>
            <w:r w:rsidR="00E1082F" w:rsidRPr="00E94D44">
              <w:rPr>
                <w:lang w:val="fr-FR"/>
              </w:rPr>
              <w:t> </w:t>
            </w:r>
            <w:r w:rsidRPr="00E94D44">
              <w:rPr>
                <w:lang w:val="fr-FR"/>
              </w:rPr>
              <w:t>des ressources et des jeux de données permettant de faire des exercices de simulation dans le cadre de formations dirigées en présentiel ou en lig</w:t>
            </w:r>
            <w:r w:rsidR="00C84D5E" w:rsidRPr="00E94D44">
              <w:rPr>
                <w:lang w:val="fr-FR"/>
              </w:rPr>
              <w:t>ne.  Po</w:t>
            </w:r>
            <w:r w:rsidRPr="00E94D44">
              <w:rPr>
                <w:lang w:val="fr-FR"/>
              </w:rPr>
              <w:t>ur créer ces supports, le Secrétariat a recruté des spécialistes du domaine ou de l</w:t>
            </w:r>
            <w:r w:rsidR="00124AD9" w:rsidRPr="00E94D44">
              <w:rPr>
                <w:lang w:val="fr-FR"/>
              </w:rPr>
              <w:t>’</w:t>
            </w:r>
            <w:r w:rsidRPr="00E94D44">
              <w:rPr>
                <w:lang w:val="fr-FR"/>
              </w:rPr>
              <w:t xml:space="preserve">apprentissage et a fait appel à une société de production de vidéos. </w:t>
            </w:r>
            <w:r w:rsidR="00E1082F" w:rsidRPr="00E94D44">
              <w:rPr>
                <w:lang w:val="fr-FR"/>
              </w:rPr>
              <w:t xml:space="preserve"> </w:t>
            </w:r>
          </w:p>
          <w:p w14:paraId="3F4F4AF4" w14:textId="37A4124E" w:rsidR="002A0D44" w:rsidRPr="00E94D44" w:rsidRDefault="002A0D44" w:rsidP="00A430E8">
            <w:pPr>
              <w:pStyle w:val="ONUMFS"/>
              <w:numPr>
                <w:ilvl w:val="0"/>
                <w:numId w:val="0"/>
              </w:numPr>
              <w:ind w:left="160"/>
              <w:rPr>
                <w:lang w:val="fr-FR"/>
              </w:rPr>
            </w:pPr>
            <w:r w:rsidRPr="00E94D44">
              <w:rPr>
                <w:lang w:val="fr-FR"/>
              </w:rPr>
              <w:t xml:space="preserve">Les versions du manuel, des vidéos et des supports associés publiées au préalable sont disponibles sur une </w:t>
            </w:r>
            <w:r w:rsidR="00124AD9" w:rsidRPr="00E94D44">
              <w:rPr>
                <w:lang w:val="fr-FR"/>
              </w:rPr>
              <w:t>page W</w:t>
            </w:r>
            <w:r w:rsidRPr="00E94D44">
              <w:rPr>
                <w:lang w:val="fr-FR"/>
              </w:rPr>
              <w:t>eb prévue à cet effet (</w:t>
            </w:r>
            <w:hyperlink r:id="rId13" w:history="1">
              <w:r w:rsidRPr="00E94D44">
                <w:rPr>
                  <w:rStyle w:val="Hyperlink"/>
                  <w:lang w:val="fr-FR"/>
                </w:rPr>
                <w:t>https://www.wipo.int/tisc/en/inventions</w:t>
              </w:r>
              <w:r w:rsidR="00510B44" w:rsidRPr="00E94D44">
                <w:rPr>
                  <w:rStyle w:val="Hyperlink"/>
                  <w:lang w:val="fr-FR"/>
                </w:rPr>
                <w:noBreakHyphen/>
              </w:r>
              <w:r w:rsidRPr="00E94D44">
                <w:rPr>
                  <w:rStyle w:val="Hyperlink"/>
                  <w:lang w:val="fr-FR"/>
                </w:rPr>
                <w:t>public</w:t>
              </w:r>
              <w:r w:rsidR="00510B44" w:rsidRPr="00E94D44">
                <w:rPr>
                  <w:rStyle w:val="Hyperlink"/>
                  <w:lang w:val="fr-FR"/>
                </w:rPr>
                <w:noBreakHyphen/>
              </w:r>
              <w:r w:rsidRPr="00E94D44">
                <w:rPr>
                  <w:rStyle w:val="Hyperlink"/>
                  <w:lang w:val="fr-FR"/>
                </w:rPr>
                <w:t>domain.html</w:t>
              </w:r>
            </w:hyperlink>
            <w:r w:rsidRPr="00E94D44">
              <w:rPr>
                <w:lang w:val="fr-FR"/>
              </w:rPr>
              <w:t>) et le catalogue des projets et résultats du Plan d</w:t>
            </w:r>
            <w:r w:rsidR="00124AD9" w:rsidRPr="00E94D44">
              <w:rPr>
                <w:lang w:val="fr-FR"/>
              </w:rPr>
              <w:t>’</w:t>
            </w:r>
            <w:r w:rsidRPr="00E94D44">
              <w:rPr>
                <w:lang w:val="fr-FR"/>
              </w:rPr>
              <w:t>action pour le développement à l</w:t>
            </w:r>
            <w:r w:rsidR="00124AD9" w:rsidRPr="00E94D44">
              <w:rPr>
                <w:lang w:val="fr-FR"/>
              </w:rPr>
              <w:t>’</w:t>
            </w:r>
            <w:r w:rsidRPr="00E94D44">
              <w:rPr>
                <w:lang w:val="fr-FR"/>
              </w:rPr>
              <w:t>adresse suivante</w:t>
            </w:r>
            <w:r w:rsidR="00124AD9" w:rsidRPr="00E94D44">
              <w:rPr>
                <w:lang w:val="fr-FR"/>
              </w:rPr>
              <w:t> :</w:t>
            </w:r>
            <w:r w:rsidRPr="00E94D44">
              <w:rPr>
                <w:lang w:val="fr-FR"/>
              </w:rPr>
              <w:t xml:space="preserve"> dacatalogue.wipo.int/</w:t>
            </w:r>
            <w:proofErr w:type="spellStart"/>
            <w:r w:rsidRPr="00E94D44">
              <w:rPr>
                <w:lang w:val="fr-FR"/>
              </w:rPr>
              <w:t>projects</w:t>
            </w:r>
            <w:proofErr w:type="spellEnd"/>
            <w:r w:rsidRPr="00E94D44">
              <w:rPr>
                <w:lang w:val="fr-FR"/>
              </w:rPr>
              <w:t>/DA_16_20_04.</w:t>
            </w:r>
          </w:p>
          <w:p w14:paraId="5FFB5924" w14:textId="77777777" w:rsidR="002A0D44" w:rsidRPr="00E94D44" w:rsidRDefault="002A0D44" w:rsidP="00A430E8">
            <w:pPr>
              <w:pStyle w:val="ONUMFS"/>
              <w:ind w:left="160"/>
              <w:rPr>
                <w:b/>
                <w:bCs/>
                <w:lang w:val="fr-FR"/>
              </w:rPr>
            </w:pPr>
            <w:r w:rsidRPr="00E94D44">
              <w:rPr>
                <w:b/>
                <w:lang w:val="fr-FR"/>
              </w:rPr>
              <w:t>Réalisation de séminaires de formation</w:t>
            </w:r>
          </w:p>
          <w:p w14:paraId="4897A680" w14:textId="6E644B79" w:rsidR="002A0D44" w:rsidRPr="00E94D44" w:rsidRDefault="002A0D44" w:rsidP="00A430E8">
            <w:pPr>
              <w:pStyle w:val="ONUMFS"/>
              <w:numPr>
                <w:ilvl w:val="0"/>
                <w:numId w:val="0"/>
              </w:numPr>
              <w:ind w:left="160"/>
              <w:rPr>
                <w:lang w:val="fr-FR"/>
              </w:rPr>
            </w:pPr>
            <w:r w:rsidRPr="00E94D44">
              <w:rPr>
                <w:lang w:val="fr-FR"/>
              </w:rPr>
              <w:t>Le résultat final a été la mise en œuvre à titre expérimental de séminaires de formation s</w:t>
            </w:r>
            <w:r w:rsidR="00124AD9" w:rsidRPr="00E94D44">
              <w:rPr>
                <w:lang w:val="fr-FR"/>
              </w:rPr>
              <w:t>’</w:t>
            </w:r>
            <w:r w:rsidRPr="00E94D44">
              <w:rPr>
                <w:lang w:val="fr-FR"/>
              </w:rPr>
              <w:t>appuyant sur les nouveaux supports de formation du manu</w:t>
            </w:r>
            <w:r w:rsidR="00C84D5E" w:rsidRPr="00E94D44">
              <w:rPr>
                <w:lang w:val="fr-FR"/>
              </w:rPr>
              <w:t>el.  Le</w:t>
            </w:r>
            <w:r w:rsidRPr="00E94D44">
              <w:rPr>
                <w:lang w:val="fr-FR"/>
              </w:rPr>
              <w:t>s réseaux de CATI de Malaisie et des Philippines ont été sélectionnés pour ces séminaires, car</w:t>
            </w:r>
            <w:r w:rsidRPr="00E94D44">
              <w:rPr>
                <w:rStyle w:val="FootnoteReference"/>
                <w:lang w:val="fr-FR"/>
              </w:rPr>
              <w:footnoteReference w:id="2"/>
            </w:r>
            <w:r w:rsidR="00124AD9" w:rsidRPr="00E94D44">
              <w:rPr>
                <w:lang w:val="fr-FR"/>
              </w:rPr>
              <w:t> :</w:t>
            </w:r>
            <w:r w:rsidRPr="00E94D44">
              <w:rPr>
                <w:lang w:val="fr-FR"/>
              </w:rPr>
              <w:t xml:space="preserve"> i)</w:t>
            </w:r>
            <w:r w:rsidR="00E1082F" w:rsidRPr="00E94D44">
              <w:rPr>
                <w:lang w:val="fr-FR"/>
              </w:rPr>
              <w:t> </w:t>
            </w:r>
            <w:r w:rsidRPr="00E94D44">
              <w:rPr>
                <w:lang w:val="fr-FR"/>
              </w:rPr>
              <w:t>les deux</w:t>
            </w:r>
            <w:r w:rsidR="00E1082F" w:rsidRPr="00E94D44">
              <w:rPr>
                <w:lang w:val="fr-FR"/>
              </w:rPr>
              <w:t> </w:t>
            </w:r>
            <w:r w:rsidRPr="00E94D44">
              <w:rPr>
                <w:lang w:val="fr-FR"/>
              </w:rPr>
              <w:t>réseaux avaient déjà acquis les connaissances préalables nécessaires sur le sujet car ils avaient participé aux projets pilotes “Recensement des inventions dans le domaine public</w:t>
            </w:r>
            <w:r w:rsidR="00124AD9" w:rsidRPr="00E94D44">
              <w:rPr>
                <w:lang w:val="fr-FR"/>
              </w:rPr>
              <w:t> :</w:t>
            </w:r>
            <w:r w:rsidRPr="00E94D44">
              <w:rPr>
                <w:lang w:val="fr-FR"/>
              </w:rPr>
              <w:t xml:space="preserve"> guide à l</w:t>
            </w:r>
            <w:r w:rsidR="00124AD9" w:rsidRPr="00E94D44">
              <w:rPr>
                <w:lang w:val="fr-FR"/>
              </w:rPr>
              <w:t>’</w:t>
            </w:r>
            <w:r w:rsidRPr="00E94D44">
              <w:rPr>
                <w:lang w:val="fr-FR"/>
              </w:rPr>
              <w:t>intention des inventeurs et des entrepreneurs” et “Utilisation des inventions relevant du domaine public</w:t>
            </w:r>
            <w:r w:rsidR="00124AD9" w:rsidRPr="00E94D44">
              <w:rPr>
                <w:lang w:val="fr-FR"/>
              </w:rPr>
              <w:t> :</w:t>
            </w:r>
            <w:r w:rsidRPr="00E94D44">
              <w:rPr>
                <w:lang w:val="fr-FR"/>
              </w:rPr>
              <w:t xml:space="preserve"> guide à l</w:t>
            </w:r>
            <w:r w:rsidR="00124AD9" w:rsidRPr="00E94D44">
              <w:rPr>
                <w:lang w:val="fr-FR"/>
              </w:rPr>
              <w:t>’</w:t>
            </w:r>
            <w:r w:rsidRPr="00E94D44">
              <w:rPr>
                <w:lang w:val="fr-FR"/>
              </w:rPr>
              <w:t>intention des inventeurs et des entrepreneurs”</w:t>
            </w:r>
            <w:r w:rsidR="00E1082F" w:rsidRPr="00E94D44">
              <w:rPr>
                <w:lang w:val="fr-FR"/>
              </w:rPr>
              <w:t xml:space="preserve">; </w:t>
            </w:r>
            <w:r w:rsidRPr="00E94D44">
              <w:rPr>
                <w:lang w:val="fr-FR"/>
              </w:rPr>
              <w:t xml:space="preserve"> et ii)</w:t>
            </w:r>
            <w:r w:rsidR="00E1082F" w:rsidRPr="00E94D44">
              <w:rPr>
                <w:lang w:val="fr-FR"/>
              </w:rPr>
              <w:t> </w:t>
            </w:r>
            <w:r w:rsidRPr="00E94D44">
              <w:rPr>
                <w:lang w:val="fr-FR"/>
              </w:rPr>
              <w:t>les deux</w:t>
            </w:r>
            <w:r w:rsidR="00E1082F" w:rsidRPr="00E94D44">
              <w:rPr>
                <w:lang w:val="fr-FR"/>
              </w:rPr>
              <w:t> </w:t>
            </w:r>
            <w:r w:rsidRPr="00E94D44">
              <w:rPr>
                <w:lang w:val="fr-FR"/>
              </w:rPr>
              <w:t>réseaux avaient atteint le niveau de maturité requis, un grand nombre de leurs CATI fournissant déjà des services à valeur ajoutée aux inventeurs et aux entrepreneurs (par exemple, assistance et conseils en matière de gestion et de commercialisation de la propriété intellectuelle, appui au développement des entreprises et à l</w:t>
            </w:r>
            <w:r w:rsidR="00124AD9" w:rsidRPr="00E94D44">
              <w:rPr>
                <w:lang w:val="fr-FR"/>
              </w:rPr>
              <w:t>’</w:t>
            </w:r>
            <w:r w:rsidRPr="00E94D44">
              <w:rPr>
                <w:lang w:val="fr-FR"/>
              </w:rPr>
              <w:t>entrepreneuriat).</w:t>
            </w:r>
          </w:p>
          <w:p w14:paraId="4FED563D" w14:textId="2A4C959C" w:rsidR="00124AD9" w:rsidRPr="00E94D44" w:rsidRDefault="002A0D44" w:rsidP="00A430E8">
            <w:pPr>
              <w:pStyle w:val="ONUMFS"/>
              <w:numPr>
                <w:ilvl w:val="0"/>
                <w:numId w:val="0"/>
              </w:numPr>
              <w:ind w:left="160"/>
              <w:rPr>
                <w:lang w:val="fr-FR"/>
              </w:rPr>
            </w:pPr>
            <w:r w:rsidRPr="00E94D44">
              <w:rPr>
                <w:lang w:val="fr-FR"/>
              </w:rPr>
              <w:t>Pour des raisons d</w:t>
            </w:r>
            <w:r w:rsidR="00124AD9" w:rsidRPr="00E94D44">
              <w:rPr>
                <w:lang w:val="fr-FR"/>
              </w:rPr>
              <w:t>’</w:t>
            </w:r>
            <w:r w:rsidRPr="00E94D44">
              <w:rPr>
                <w:lang w:val="fr-FR"/>
              </w:rPr>
              <w:t>économie et d</w:t>
            </w:r>
            <w:r w:rsidR="00124AD9" w:rsidRPr="00E94D44">
              <w:rPr>
                <w:lang w:val="fr-FR"/>
              </w:rPr>
              <w:t>’</w:t>
            </w:r>
            <w:r w:rsidRPr="00E94D44">
              <w:rPr>
                <w:lang w:val="fr-FR"/>
              </w:rPr>
              <w:t>efficacité, comme indiqué dans le rapport sur l</w:t>
            </w:r>
            <w:r w:rsidR="00124AD9" w:rsidRPr="00E94D44">
              <w:rPr>
                <w:lang w:val="fr-FR"/>
              </w:rPr>
              <w:t>’</w:t>
            </w:r>
            <w:r w:rsidRPr="00E94D44">
              <w:rPr>
                <w:lang w:val="fr-FR"/>
              </w:rPr>
              <w:t>état d</w:t>
            </w:r>
            <w:r w:rsidR="00124AD9" w:rsidRPr="00E94D44">
              <w:rPr>
                <w:lang w:val="fr-FR"/>
              </w:rPr>
              <w:t>’</w:t>
            </w:r>
            <w:r w:rsidRPr="00E94D44">
              <w:rPr>
                <w:lang w:val="fr-FR"/>
              </w:rPr>
              <w:t>avancement du projet (</w:t>
            </w:r>
            <w:r w:rsidR="00124AD9" w:rsidRPr="00E94D44">
              <w:rPr>
                <w:lang w:val="fr-FR"/>
              </w:rPr>
              <w:t>annexe V</w:t>
            </w:r>
            <w:r w:rsidRPr="00E94D44">
              <w:rPr>
                <w:lang w:val="fr-FR"/>
              </w:rPr>
              <w:t xml:space="preserve"> du document </w:t>
            </w:r>
            <w:hyperlink r:id="rId14" w:history="1">
              <w:r w:rsidRPr="00E94D44">
                <w:rPr>
                  <w:rStyle w:val="Hyperlink"/>
                  <w:lang w:val="fr-FR"/>
                </w:rPr>
                <w:t>CDIP/29/2</w:t>
              </w:r>
            </w:hyperlink>
            <w:r w:rsidRPr="00E94D44">
              <w:rPr>
                <w:lang w:val="fr-FR"/>
              </w:rPr>
              <w:t>), les séminaires de formation pilotes se sont déroulés en ligne.  La formation comprenait deux</w:t>
            </w:r>
            <w:r w:rsidR="00E1082F" w:rsidRPr="00E94D44">
              <w:rPr>
                <w:lang w:val="fr-FR"/>
              </w:rPr>
              <w:t> </w:t>
            </w:r>
            <w:r w:rsidRPr="00E94D44">
              <w:rPr>
                <w:lang w:val="fr-FR"/>
              </w:rPr>
              <w:t>sessions par semaine sur chaque outil (une session théorique suivie d</w:t>
            </w:r>
            <w:r w:rsidR="00124AD9" w:rsidRPr="00E94D44">
              <w:rPr>
                <w:lang w:val="fr-FR"/>
              </w:rPr>
              <w:t>’</w:t>
            </w:r>
            <w:r w:rsidRPr="00E94D44">
              <w:rPr>
                <w:lang w:val="fr-FR"/>
              </w:rPr>
              <w:t>exercices pratiques en groupe dans des salles de réunion virtuelles organisées par petits groupes) et s</w:t>
            </w:r>
            <w:r w:rsidR="00124AD9" w:rsidRPr="00E94D44">
              <w:rPr>
                <w:lang w:val="fr-FR"/>
              </w:rPr>
              <w:t>’</w:t>
            </w:r>
            <w:r w:rsidRPr="00E94D44">
              <w:rPr>
                <w:lang w:val="fr-FR"/>
              </w:rPr>
              <w:t>est déroulée sur sept</w:t>
            </w:r>
            <w:r w:rsidR="00E1082F" w:rsidRPr="00E94D44">
              <w:rPr>
                <w:lang w:val="fr-FR"/>
              </w:rPr>
              <w:t> </w:t>
            </w:r>
            <w:r w:rsidRPr="00E94D44">
              <w:rPr>
                <w:lang w:val="fr-FR"/>
              </w:rPr>
              <w:t>semaines.</w:t>
            </w:r>
          </w:p>
          <w:p w14:paraId="4D51698D" w14:textId="20A6A8AE" w:rsidR="002A0D44" w:rsidRPr="00E94D44" w:rsidRDefault="002A0D44" w:rsidP="00A430E8">
            <w:pPr>
              <w:pStyle w:val="ONUMFS"/>
              <w:numPr>
                <w:ilvl w:val="0"/>
                <w:numId w:val="0"/>
              </w:numPr>
              <w:ind w:left="160"/>
              <w:rPr>
                <w:lang w:val="fr-FR"/>
              </w:rPr>
            </w:pPr>
            <w:r w:rsidRPr="00E94D44">
              <w:rPr>
                <w:lang w:val="fr-FR"/>
              </w:rPr>
              <w:t>Le fait d</w:t>
            </w:r>
            <w:r w:rsidR="00124AD9" w:rsidRPr="00E94D44">
              <w:rPr>
                <w:lang w:val="fr-FR"/>
              </w:rPr>
              <w:t>’</w:t>
            </w:r>
            <w:r w:rsidRPr="00E94D44">
              <w:rPr>
                <w:lang w:val="fr-FR"/>
              </w:rPr>
              <w:t>organiser la formation sous forme virtuelle a permis de réunir les participants des deux</w:t>
            </w:r>
            <w:r w:rsidR="00E1082F" w:rsidRPr="00E94D44">
              <w:rPr>
                <w:lang w:val="fr-FR"/>
              </w:rPr>
              <w:t> </w:t>
            </w:r>
            <w:r w:rsidRPr="00E94D44">
              <w:rPr>
                <w:lang w:val="fr-FR"/>
              </w:rPr>
              <w:t>réseaux de CATI et de favoriser le partage de connaissances et de données d</w:t>
            </w:r>
            <w:r w:rsidR="00124AD9" w:rsidRPr="00E94D44">
              <w:rPr>
                <w:lang w:val="fr-FR"/>
              </w:rPr>
              <w:t>’</w:t>
            </w:r>
            <w:r w:rsidRPr="00E94D44">
              <w:rPr>
                <w:lang w:val="fr-FR"/>
              </w:rPr>
              <w:t>expérience entre le personnel</w:t>
            </w:r>
            <w:r w:rsidR="00124AD9" w:rsidRPr="00E94D44">
              <w:rPr>
                <w:lang w:val="fr-FR"/>
              </w:rPr>
              <w:t xml:space="preserve"> des CAT</w:t>
            </w:r>
            <w:r w:rsidRPr="00E94D44">
              <w:rPr>
                <w:lang w:val="fr-FR"/>
              </w:rPr>
              <w:t>I de Malaisie et des Philippines, afin de favoriser la coopération entre les États membres de l</w:t>
            </w:r>
            <w:r w:rsidR="00124AD9" w:rsidRPr="00E94D44">
              <w:rPr>
                <w:lang w:val="fr-FR"/>
              </w:rPr>
              <w:t>’</w:t>
            </w:r>
            <w:r w:rsidRPr="00E94D44">
              <w:rPr>
                <w:lang w:val="fr-FR"/>
              </w:rPr>
              <w:t>Association des nations de l</w:t>
            </w:r>
            <w:r w:rsidR="00124AD9" w:rsidRPr="00E94D44">
              <w:rPr>
                <w:lang w:val="fr-FR"/>
              </w:rPr>
              <w:t>’</w:t>
            </w:r>
            <w:r w:rsidRPr="00E94D44">
              <w:rPr>
                <w:lang w:val="fr-FR"/>
              </w:rPr>
              <w:t>Asie du Sud</w:t>
            </w:r>
            <w:r w:rsidR="00510B44" w:rsidRPr="00E94D44">
              <w:rPr>
                <w:lang w:val="fr-FR"/>
              </w:rPr>
              <w:noBreakHyphen/>
            </w:r>
            <w:r w:rsidRPr="00E94D44">
              <w:rPr>
                <w:lang w:val="fr-FR"/>
              </w:rPr>
              <w:t>Est (ASEAN) et de contribuer ainsi à l</w:t>
            </w:r>
            <w:r w:rsidR="00124AD9" w:rsidRPr="00E94D44">
              <w:rPr>
                <w:lang w:val="fr-FR"/>
              </w:rPr>
              <w:t>’</w:t>
            </w:r>
            <w:r w:rsidRPr="00E94D44">
              <w:rPr>
                <w:lang w:val="fr-FR"/>
              </w:rPr>
              <w:t>un des principaux objectifs du réseau régional de CATI de l</w:t>
            </w:r>
            <w:r w:rsidR="00124AD9" w:rsidRPr="00E94D44">
              <w:rPr>
                <w:lang w:val="fr-FR"/>
              </w:rPr>
              <w:t>’</w:t>
            </w:r>
            <w:r w:rsidRPr="00E94D44">
              <w:rPr>
                <w:lang w:val="fr-FR"/>
              </w:rPr>
              <w:t>ASEAN.</w:t>
            </w:r>
          </w:p>
          <w:p w14:paraId="599D3D48" w14:textId="6A8C620C" w:rsidR="00124AD9" w:rsidRPr="00E94D44" w:rsidRDefault="002A0D44" w:rsidP="00A430E8">
            <w:pPr>
              <w:pStyle w:val="ONUMFS"/>
              <w:numPr>
                <w:ilvl w:val="0"/>
                <w:numId w:val="0"/>
              </w:numPr>
              <w:ind w:left="160"/>
              <w:rPr>
                <w:lang w:val="fr-FR"/>
              </w:rPr>
            </w:pPr>
            <w:r w:rsidRPr="00E94D44">
              <w:rPr>
                <w:lang w:val="fr-FR"/>
              </w:rPr>
              <w:t>Pour mener à bien les sessions de formation, le Secrétariat a fait appel au prestataire de services et au spécialiste de l</w:t>
            </w:r>
            <w:r w:rsidR="00124AD9" w:rsidRPr="00E94D44">
              <w:rPr>
                <w:lang w:val="fr-FR"/>
              </w:rPr>
              <w:t>’</w:t>
            </w:r>
            <w:r w:rsidRPr="00E94D44">
              <w:rPr>
                <w:lang w:val="fr-FR"/>
              </w:rPr>
              <w:t>apprentissage qui avaient préparé les supports de formation, afin d</w:t>
            </w:r>
            <w:r w:rsidR="00124AD9" w:rsidRPr="00E94D44">
              <w:rPr>
                <w:lang w:val="fr-FR"/>
              </w:rPr>
              <w:t>’</w:t>
            </w:r>
            <w:r w:rsidRPr="00E94D44">
              <w:rPr>
                <w:lang w:val="fr-FR"/>
              </w:rPr>
              <w:t>assurer la continuité et de disposer de l</w:t>
            </w:r>
            <w:r w:rsidR="00124AD9" w:rsidRPr="00E94D44">
              <w:rPr>
                <w:lang w:val="fr-FR"/>
              </w:rPr>
              <w:t>’</w:t>
            </w:r>
            <w:r w:rsidRPr="00E94D44">
              <w:rPr>
                <w:lang w:val="fr-FR"/>
              </w:rPr>
              <w:t xml:space="preserve">expertise nécessaire à la mise en œuvre du projet pilote. </w:t>
            </w:r>
            <w:r w:rsidR="00E1082F" w:rsidRPr="00E94D44">
              <w:rPr>
                <w:lang w:val="fr-FR"/>
              </w:rPr>
              <w:t xml:space="preserve"> </w:t>
            </w:r>
          </w:p>
          <w:p w14:paraId="6B5530FB" w14:textId="3A3AF2DC" w:rsidR="002A0D44" w:rsidRPr="00E94D44" w:rsidRDefault="002A0D44" w:rsidP="00A430E8">
            <w:pPr>
              <w:pStyle w:val="ONUMFS"/>
              <w:numPr>
                <w:ilvl w:val="0"/>
                <w:numId w:val="0"/>
              </w:numPr>
              <w:ind w:left="160"/>
              <w:rPr>
                <w:lang w:val="fr-FR"/>
              </w:rPr>
            </w:pPr>
            <w:r w:rsidRPr="00E94D44">
              <w:rPr>
                <w:lang w:val="fr-FR"/>
              </w:rPr>
              <w:t>Afin d</w:t>
            </w:r>
            <w:r w:rsidR="00124AD9" w:rsidRPr="00E94D44">
              <w:rPr>
                <w:lang w:val="fr-FR"/>
              </w:rPr>
              <w:t>’</w:t>
            </w:r>
            <w:r w:rsidRPr="00E94D44">
              <w:rPr>
                <w:lang w:val="fr-FR"/>
              </w:rPr>
              <w:t>évaluer les supports de formation et leur modèle d</w:t>
            </w:r>
            <w:r w:rsidR="00124AD9" w:rsidRPr="00E94D44">
              <w:rPr>
                <w:lang w:val="fr-FR"/>
              </w:rPr>
              <w:t>’</w:t>
            </w:r>
            <w:r w:rsidRPr="00E94D44">
              <w:rPr>
                <w:lang w:val="fr-FR"/>
              </w:rPr>
              <w:t xml:space="preserve">exécution, le Secrétariat a employé plusieurs méthodes, </w:t>
            </w:r>
            <w:r w:rsidR="00124AD9" w:rsidRPr="00E94D44">
              <w:rPr>
                <w:lang w:val="fr-FR"/>
              </w:rPr>
              <w:t>y compris :</w:t>
            </w:r>
            <w:r w:rsidRPr="00E94D44">
              <w:rPr>
                <w:lang w:val="fr-FR"/>
              </w:rPr>
              <w:t xml:space="preserve"> i)</w:t>
            </w:r>
            <w:r w:rsidR="00E1082F" w:rsidRPr="00E94D44">
              <w:rPr>
                <w:lang w:val="fr-FR"/>
              </w:rPr>
              <w:t> </w:t>
            </w:r>
            <w:r w:rsidRPr="00E94D44">
              <w:rPr>
                <w:lang w:val="fr-FR"/>
              </w:rPr>
              <w:t>des discussions de groupe pour recueillir les commentaires des coordonnateurs et des participants tout au long de la formation</w:t>
            </w:r>
            <w:r w:rsidR="00E1082F" w:rsidRPr="00E94D44">
              <w:rPr>
                <w:lang w:val="fr-FR"/>
              </w:rPr>
              <w:t xml:space="preserve">; </w:t>
            </w:r>
            <w:r w:rsidRPr="00E94D44">
              <w:rPr>
                <w:lang w:val="fr-FR"/>
              </w:rPr>
              <w:t xml:space="preserve"> ii)</w:t>
            </w:r>
            <w:r w:rsidR="00E1082F" w:rsidRPr="00E94D44">
              <w:rPr>
                <w:lang w:val="fr-FR"/>
              </w:rPr>
              <w:t> </w:t>
            </w:r>
            <w:r w:rsidRPr="00E94D44">
              <w:rPr>
                <w:lang w:val="fr-FR"/>
              </w:rPr>
              <w:t>une enquête en ligne qui a été adressée à tous les participants après la formation</w:t>
            </w:r>
            <w:r w:rsidR="00E1082F" w:rsidRPr="00E94D44">
              <w:rPr>
                <w:lang w:val="fr-FR"/>
              </w:rPr>
              <w:t xml:space="preserve">; </w:t>
            </w:r>
            <w:r w:rsidRPr="00E94D44">
              <w:rPr>
                <w:lang w:val="fr-FR"/>
              </w:rPr>
              <w:t xml:space="preserve"> et iii)</w:t>
            </w:r>
            <w:r w:rsidR="00E1082F" w:rsidRPr="00E94D44">
              <w:rPr>
                <w:lang w:val="fr-FR"/>
              </w:rPr>
              <w:t> </w:t>
            </w:r>
            <w:r w:rsidRPr="00E94D44">
              <w:rPr>
                <w:lang w:val="fr-FR"/>
              </w:rPr>
              <w:t>un rapport du spécialiste de l</w:t>
            </w:r>
            <w:r w:rsidR="00124AD9" w:rsidRPr="00E94D44">
              <w:rPr>
                <w:lang w:val="fr-FR"/>
              </w:rPr>
              <w:t>’</w:t>
            </w:r>
            <w:r w:rsidRPr="00E94D44">
              <w:rPr>
                <w:lang w:val="fr-FR"/>
              </w:rPr>
              <w:t>apprentissage, contenant des observations d</w:t>
            </w:r>
            <w:r w:rsidR="00124AD9" w:rsidRPr="00E94D44">
              <w:rPr>
                <w:lang w:val="fr-FR"/>
              </w:rPr>
              <w:t>’</w:t>
            </w:r>
            <w:r w:rsidRPr="00E94D44">
              <w:rPr>
                <w:lang w:val="fr-FR"/>
              </w:rPr>
              <w:t>un point de vue pédagogique sur l</w:t>
            </w:r>
            <w:r w:rsidR="00124AD9" w:rsidRPr="00E94D44">
              <w:rPr>
                <w:lang w:val="fr-FR"/>
              </w:rPr>
              <w:t>’</w:t>
            </w:r>
            <w:r w:rsidRPr="00E94D44">
              <w:rPr>
                <w:lang w:val="fr-FR"/>
              </w:rPr>
              <w:t xml:space="preserve">exécution du programme de formation virtuelle, </w:t>
            </w:r>
            <w:r w:rsidR="00124AD9" w:rsidRPr="00E94D44">
              <w:rPr>
                <w:lang w:val="fr-FR"/>
              </w:rPr>
              <w:t>y compris</w:t>
            </w:r>
            <w:r w:rsidRPr="00E94D44">
              <w:rPr>
                <w:lang w:val="fr-FR"/>
              </w:rPr>
              <w:t xml:space="preserve"> les bonnes pratiques et les lacunes, ainsi que des recommandations sur les moyens suggérés pour adapter le programme de formation à l</w:t>
            </w:r>
            <w:r w:rsidR="00124AD9" w:rsidRPr="00E94D44">
              <w:rPr>
                <w:lang w:val="fr-FR"/>
              </w:rPr>
              <w:t>’</w:t>
            </w:r>
            <w:r w:rsidRPr="00E94D44">
              <w:rPr>
                <w:lang w:val="fr-FR"/>
              </w:rPr>
              <w:t xml:space="preserve">avenir et répondre à certaines des difficultés soulevées. </w:t>
            </w:r>
            <w:r w:rsidR="00E1082F" w:rsidRPr="00E94D44">
              <w:rPr>
                <w:lang w:val="fr-FR"/>
              </w:rPr>
              <w:t xml:space="preserve"> </w:t>
            </w:r>
          </w:p>
        </w:tc>
      </w:tr>
      <w:tr w:rsidR="002A0D44" w:rsidRPr="00E94D44" w14:paraId="30172DF0" w14:textId="77777777" w:rsidTr="005A5A9F">
        <w:trPr>
          <w:trHeight w:val="801"/>
        </w:trPr>
        <w:tc>
          <w:tcPr>
            <w:tcW w:w="2377" w:type="dxa"/>
            <w:shd w:val="clear" w:color="auto" w:fill="8DB3E1"/>
          </w:tcPr>
          <w:p w14:paraId="7650EC7A" w14:textId="77777777" w:rsidR="002A0D44" w:rsidRPr="00E94D44" w:rsidRDefault="002A0D44" w:rsidP="009940FE">
            <w:pPr>
              <w:pStyle w:val="ONUMFS"/>
              <w:numPr>
                <w:ilvl w:val="0"/>
                <w:numId w:val="0"/>
              </w:numPr>
              <w:ind w:left="134"/>
              <w:rPr>
                <w:lang w:val="fr-FR"/>
              </w:rPr>
            </w:pPr>
            <w:r w:rsidRPr="00E94D44">
              <w:rPr>
                <w:u w:val="single"/>
                <w:lang w:val="fr-FR"/>
              </w:rPr>
              <w:t>Principaux résultats et effets du projet</w:t>
            </w:r>
          </w:p>
        </w:tc>
        <w:tc>
          <w:tcPr>
            <w:tcW w:w="6913" w:type="dxa"/>
          </w:tcPr>
          <w:p w14:paraId="72EF6A98" w14:textId="6B592483" w:rsidR="00124AD9" w:rsidRPr="00E94D44" w:rsidRDefault="002A0D44" w:rsidP="00A430E8">
            <w:pPr>
              <w:pStyle w:val="ONUMFS"/>
              <w:numPr>
                <w:ilvl w:val="0"/>
                <w:numId w:val="0"/>
              </w:numPr>
              <w:ind w:left="160"/>
              <w:rPr>
                <w:lang w:val="fr-FR"/>
              </w:rPr>
            </w:pPr>
            <w:r w:rsidRPr="00E94D44">
              <w:rPr>
                <w:lang w:val="fr-FR"/>
              </w:rPr>
              <w:t>Le projet a permis d</w:t>
            </w:r>
            <w:r w:rsidR="00124AD9" w:rsidRPr="00E94D44">
              <w:rPr>
                <w:lang w:val="fr-FR"/>
              </w:rPr>
              <w:t>’</w:t>
            </w:r>
            <w:r w:rsidRPr="00E94D44">
              <w:rPr>
                <w:lang w:val="fr-FR"/>
              </w:rPr>
              <w:t>obtenir les résultats suivants</w:t>
            </w:r>
            <w:r w:rsidR="00124AD9" w:rsidRPr="00E94D44">
              <w:rPr>
                <w:lang w:val="fr-FR"/>
              </w:rPr>
              <w:t> :</w:t>
            </w:r>
          </w:p>
          <w:p w14:paraId="5EAC6581" w14:textId="7C8F03B8" w:rsidR="00A430E8" w:rsidRPr="00E94D44" w:rsidRDefault="002A0D44" w:rsidP="00A430E8">
            <w:pPr>
              <w:pStyle w:val="ONUMFS"/>
              <w:numPr>
                <w:ilvl w:val="0"/>
                <w:numId w:val="16"/>
              </w:numPr>
              <w:ind w:left="1010" w:hanging="567"/>
              <w:rPr>
                <w:lang w:val="fr-FR"/>
              </w:rPr>
            </w:pPr>
            <w:proofErr w:type="gramStart"/>
            <w:r w:rsidRPr="00E94D44">
              <w:rPr>
                <w:lang w:val="fr-FR"/>
              </w:rPr>
              <w:t>conception</w:t>
            </w:r>
            <w:proofErr w:type="gramEnd"/>
            <w:r w:rsidRPr="00E94D44">
              <w:rPr>
                <w:lang w:val="fr-FR"/>
              </w:rPr>
              <w:t xml:space="preserve"> d</w:t>
            </w:r>
            <w:r w:rsidR="00124AD9" w:rsidRPr="00E94D44">
              <w:rPr>
                <w:lang w:val="fr-FR"/>
              </w:rPr>
              <w:t>’</w:t>
            </w:r>
            <w:r w:rsidRPr="00E94D44">
              <w:rPr>
                <w:lang w:val="fr-FR"/>
              </w:rPr>
              <w:t>un manuel comprenant des outils pratiques permettant de déterminer s</w:t>
            </w:r>
            <w:r w:rsidR="00124AD9" w:rsidRPr="00E94D44">
              <w:rPr>
                <w:lang w:val="fr-FR"/>
              </w:rPr>
              <w:t>’</w:t>
            </w:r>
            <w:r w:rsidRPr="00E94D44">
              <w:rPr>
                <w:lang w:val="fr-FR"/>
              </w:rPr>
              <w:t>il convient de mener plus avant la mise au point d</w:t>
            </w:r>
            <w:r w:rsidR="00124AD9" w:rsidRPr="00E94D44">
              <w:rPr>
                <w:lang w:val="fr-FR"/>
              </w:rPr>
              <w:t>’</w:t>
            </w:r>
            <w:r w:rsidRPr="00E94D44">
              <w:rPr>
                <w:lang w:val="fr-FR"/>
              </w:rPr>
              <w:t>un nouveau produit en se fondant sur l</w:t>
            </w:r>
            <w:r w:rsidR="00124AD9" w:rsidRPr="00E94D44">
              <w:rPr>
                <w:lang w:val="fr-FR"/>
              </w:rPr>
              <w:t>’</w:t>
            </w:r>
            <w:r w:rsidRPr="00E94D44">
              <w:rPr>
                <w:lang w:val="fr-FR"/>
              </w:rPr>
              <w:t>évaluation de la liberté d</w:t>
            </w:r>
            <w:r w:rsidR="00124AD9" w:rsidRPr="00E94D44">
              <w:rPr>
                <w:lang w:val="fr-FR"/>
              </w:rPr>
              <w:t>’</w:t>
            </w:r>
            <w:r w:rsidRPr="00E94D44">
              <w:rPr>
                <w:lang w:val="fr-FR"/>
              </w:rPr>
              <w:t>exploitation.</w:t>
            </w:r>
          </w:p>
          <w:p w14:paraId="78BB8554" w14:textId="0283B22D" w:rsidR="002A0D44" w:rsidRPr="00E94D44" w:rsidRDefault="002A0D44" w:rsidP="00A430E8">
            <w:pPr>
              <w:pStyle w:val="ONUMFS"/>
              <w:numPr>
                <w:ilvl w:val="0"/>
                <w:numId w:val="16"/>
              </w:numPr>
              <w:ind w:left="1010" w:hanging="567"/>
              <w:rPr>
                <w:lang w:val="fr-FR"/>
              </w:rPr>
            </w:pPr>
            <w:proofErr w:type="gramStart"/>
            <w:r w:rsidRPr="00E94D44">
              <w:rPr>
                <w:lang w:val="fr-FR"/>
              </w:rPr>
              <w:t>conception</w:t>
            </w:r>
            <w:proofErr w:type="gramEnd"/>
            <w:r w:rsidRPr="00E94D44">
              <w:rPr>
                <w:lang w:val="fr-FR"/>
              </w:rPr>
              <w:t xml:space="preserve"> d</w:t>
            </w:r>
            <w:r w:rsidR="00124AD9" w:rsidRPr="00E94D44">
              <w:rPr>
                <w:lang w:val="fr-FR"/>
              </w:rPr>
              <w:t>’</w:t>
            </w:r>
            <w:r w:rsidRPr="00E94D44">
              <w:rPr>
                <w:lang w:val="fr-FR"/>
              </w:rPr>
              <w:t>une nouvelle méthode d</w:t>
            </w:r>
            <w:r w:rsidR="00124AD9" w:rsidRPr="00E94D44">
              <w:rPr>
                <w:lang w:val="fr-FR"/>
              </w:rPr>
              <w:t>’</w:t>
            </w:r>
            <w:r w:rsidRPr="00E94D44">
              <w:rPr>
                <w:lang w:val="fr-FR"/>
              </w:rPr>
              <w:t>apprentissage mixte et modulaire et de supports de formation sur l</w:t>
            </w:r>
            <w:r w:rsidR="00124AD9" w:rsidRPr="00E94D44">
              <w:rPr>
                <w:lang w:val="fr-FR"/>
              </w:rPr>
              <w:t>’</w:t>
            </w:r>
            <w:r w:rsidRPr="00E94D44">
              <w:rPr>
                <w:lang w:val="fr-FR"/>
              </w:rPr>
              <w:t>utilisation efficace du manuel à titre expérimental dans</w:t>
            </w:r>
            <w:r w:rsidR="00124AD9" w:rsidRPr="00E94D44">
              <w:rPr>
                <w:lang w:val="fr-FR"/>
              </w:rPr>
              <w:t xml:space="preserve"> les CAT</w:t>
            </w:r>
            <w:r w:rsidRPr="00E94D44">
              <w:rPr>
                <w:lang w:val="fr-FR"/>
              </w:rPr>
              <w:t>I sélectionnés dans deux</w:t>
            </w:r>
            <w:r w:rsidR="00E1082F" w:rsidRPr="00E94D44">
              <w:rPr>
                <w:lang w:val="fr-FR"/>
              </w:rPr>
              <w:t> </w:t>
            </w:r>
            <w:r w:rsidRPr="00E94D44">
              <w:rPr>
                <w:lang w:val="fr-FR"/>
              </w:rPr>
              <w:t>réseaux de CATI de pointe (Malaisie et Philippines) afin de tester les supports et la méthode de formation et d</w:t>
            </w:r>
            <w:r w:rsidR="00124AD9" w:rsidRPr="00E94D44">
              <w:rPr>
                <w:lang w:val="fr-FR"/>
              </w:rPr>
              <w:t>’</w:t>
            </w:r>
            <w:r w:rsidRPr="00E94D44">
              <w:rPr>
                <w:lang w:val="fr-FR"/>
              </w:rPr>
              <w:t>aider à les affiner en vue de futures activités de formation sur le même sujet et sur d</w:t>
            </w:r>
            <w:r w:rsidR="00124AD9" w:rsidRPr="00E94D44">
              <w:rPr>
                <w:lang w:val="fr-FR"/>
              </w:rPr>
              <w:t>’</w:t>
            </w:r>
            <w:r w:rsidRPr="00E94D44">
              <w:rPr>
                <w:lang w:val="fr-FR"/>
              </w:rPr>
              <w:t>autres sujets liés</w:t>
            </w:r>
            <w:r w:rsidR="00124AD9" w:rsidRPr="00E94D44">
              <w:rPr>
                <w:lang w:val="fr-FR"/>
              </w:rPr>
              <w:t xml:space="preserve"> aux CAT</w:t>
            </w:r>
            <w:r w:rsidRPr="00E94D44">
              <w:rPr>
                <w:lang w:val="fr-FR"/>
              </w:rPr>
              <w:t>I.</w:t>
            </w:r>
          </w:p>
          <w:p w14:paraId="6E4D5835" w14:textId="11570A12" w:rsidR="00124AD9" w:rsidRPr="00E94D44" w:rsidRDefault="002A0D44" w:rsidP="00A430E8">
            <w:pPr>
              <w:pStyle w:val="ONUMFS"/>
              <w:numPr>
                <w:ilvl w:val="0"/>
                <w:numId w:val="0"/>
              </w:numPr>
              <w:ind w:left="160"/>
              <w:rPr>
                <w:lang w:val="fr-FR"/>
              </w:rPr>
            </w:pPr>
            <w:r w:rsidRPr="00E94D44">
              <w:rPr>
                <w:lang w:val="fr-FR"/>
              </w:rPr>
              <w:t>Bien qu</w:t>
            </w:r>
            <w:r w:rsidR="00124AD9" w:rsidRPr="00E94D44">
              <w:rPr>
                <w:lang w:val="fr-FR"/>
              </w:rPr>
              <w:t>’</w:t>
            </w:r>
            <w:r w:rsidRPr="00E94D44">
              <w:rPr>
                <w:lang w:val="fr-FR"/>
              </w:rPr>
              <w:t>il soit trop tôt pour évaluer les retombées à long terme du projet, la mise en œuvre à titre expérimental des supports de formation sur le manuel en Malaisie et aux Philippines a permis de recueillir des informations précieuses sur le manuel, les supports de formation et la méthode.  Les commentaires recueillis lors des séminaires de formation ont notamment aidé le Secrétariat à cerner les points forts de la nouvelle méthode d</w:t>
            </w:r>
            <w:r w:rsidR="00124AD9" w:rsidRPr="00E94D44">
              <w:rPr>
                <w:lang w:val="fr-FR"/>
              </w:rPr>
              <w:t>’</w:t>
            </w:r>
            <w:r w:rsidRPr="00E94D44">
              <w:rPr>
                <w:lang w:val="fr-FR"/>
              </w:rPr>
              <w:t>apprentissage mixte et modulaire utilisée pour ces formations, ainsi que les améliorations possibles de cette méthode pour des activités de formation similaires avec</w:t>
            </w:r>
            <w:r w:rsidR="00124AD9" w:rsidRPr="00E94D44">
              <w:rPr>
                <w:lang w:val="fr-FR"/>
              </w:rPr>
              <w:t xml:space="preserve"> les CAT</w:t>
            </w:r>
            <w:r w:rsidRPr="00E94D44">
              <w:rPr>
                <w:lang w:val="fr-FR"/>
              </w:rPr>
              <w:t>I et d</w:t>
            </w:r>
            <w:r w:rsidR="00124AD9" w:rsidRPr="00E94D44">
              <w:rPr>
                <w:lang w:val="fr-FR"/>
              </w:rPr>
              <w:t>’</w:t>
            </w:r>
            <w:r w:rsidRPr="00E94D44">
              <w:rPr>
                <w:lang w:val="fr-FR"/>
              </w:rPr>
              <w:t>autres parties prenantes à l</w:t>
            </w:r>
            <w:r w:rsidR="00124AD9" w:rsidRPr="00E94D44">
              <w:rPr>
                <w:lang w:val="fr-FR"/>
              </w:rPr>
              <w:t>’</w:t>
            </w:r>
            <w:r w:rsidRPr="00E94D44">
              <w:rPr>
                <w:lang w:val="fr-FR"/>
              </w:rPr>
              <w:t xml:space="preserve">avenir. </w:t>
            </w:r>
            <w:r w:rsidR="00E1082F" w:rsidRPr="00E94D44">
              <w:rPr>
                <w:lang w:val="fr-FR"/>
              </w:rPr>
              <w:t xml:space="preserve"> </w:t>
            </w:r>
          </w:p>
          <w:p w14:paraId="1428FA2B" w14:textId="11A5C53F" w:rsidR="00124AD9" w:rsidRPr="00E94D44" w:rsidRDefault="002A0D44" w:rsidP="00A430E8">
            <w:pPr>
              <w:pStyle w:val="ONUMFS"/>
              <w:numPr>
                <w:ilvl w:val="0"/>
                <w:numId w:val="0"/>
              </w:numPr>
              <w:ind w:left="160"/>
              <w:rPr>
                <w:lang w:val="fr-FR"/>
              </w:rPr>
            </w:pPr>
            <w:r w:rsidRPr="00E94D44">
              <w:rPr>
                <w:lang w:val="fr-FR"/>
              </w:rPr>
              <w:t>Voici quelques points clés tirés du processus d</w:t>
            </w:r>
            <w:r w:rsidR="00124AD9" w:rsidRPr="00E94D44">
              <w:rPr>
                <w:lang w:val="fr-FR"/>
              </w:rPr>
              <w:t>’</w:t>
            </w:r>
            <w:r w:rsidRPr="00E94D44">
              <w:rPr>
                <w:lang w:val="fr-FR"/>
              </w:rPr>
              <w:t>évaluation des séminaires de formation</w:t>
            </w:r>
            <w:r w:rsidR="00124AD9" w:rsidRPr="00E94D44">
              <w:rPr>
                <w:lang w:val="fr-FR"/>
              </w:rPr>
              <w:t> :</w:t>
            </w:r>
          </w:p>
          <w:p w14:paraId="6680581C" w14:textId="5329FDFA" w:rsidR="00124AD9" w:rsidRPr="00E94D44" w:rsidRDefault="002A0D44" w:rsidP="00A430E8">
            <w:pPr>
              <w:pStyle w:val="ONUMFS"/>
              <w:numPr>
                <w:ilvl w:val="0"/>
                <w:numId w:val="16"/>
              </w:numPr>
              <w:ind w:left="1010" w:hanging="567"/>
              <w:rPr>
                <w:lang w:val="fr-FR"/>
              </w:rPr>
            </w:pPr>
            <w:r w:rsidRPr="00E94D44">
              <w:rPr>
                <w:lang w:val="fr-FR"/>
              </w:rPr>
              <w:t>Le manuel est perçu comme une nouvelle ressource importante pour appuyer</w:t>
            </w:r>
            <w:r w:rsidR="00124AD9" w:rsidRPr="00E94D44">
              <w:rPr>
                <w:lang w:val="fr-FR"/>
              </w:rPr>
              <w:t xml:space="preserve"> les CAT</w:t>
            </w:r>
            <w:r w:rsidRPr="00E94D44">
              <w:rPr>
                <w:lang w:val="fr-FR"/>
              </w:rPr>
              <w:t>I qui fournissent (ou aspirent à fournir) des services dans le domaine de la mise au point de nouveaux produits, de la commercialisation de la propriété intellectuelle et de l</w:t>
            </w:r>
            <w:r w:rsidR="00124AD9" w:rsidRPr="00E94D44">
              <w:rPr>
                <w:lang w:val="fr-FR"/>
              </w:rPr>
              <w:t>’</w:t>
            </w:r>
            <w:r w:rsidRPr="00E94D44">
              <w:rPr>
                <w:lang w:val="fr-FR"/>
              </w:rPr>
              <w:t>entrepreneuriat.  De nombreux participants ont souligné la pertinence de ces outils pour soutenir leurs activités dans ces domain</w:t>
            </w:r>
            <w:r w:rsidR="00C84D5E" w:rsidRPr="00E94D44">
              <w:rPr>
                <w:lang w:val="fr-FR"/>
              </w:rPr>
              <w:t>es.  Au</w:t>
            </w:r>
            <w:r w:rsidRPr="00E94D44">
              <w:rPr>
                <w:lang w:val="fr-FR"/>
              </w:rPr>
              <w:t>x Philippines, il a été signalé que</w:t>
            </w:r>
            <w:r w:rsidR="00124AD9" w:rsidRPr="00E94D44">
              <w:rPr>
                <w:lang w:val="fr-FR"/>
              </w:rPr>
              <w:t xml:space="preserve"> les CAT</w:t>
            </w:r>
            <w:r w:rsidRPr="00E94D44">
              <w:rPr>
                <w:lang w:val="fr-FR"/>
              </w:rPr>
              <w:t>I (dénommés “ITSO” dans le pays) envisagent également d</w:t>
            </w:r>
            <w:r w:rsidR="00124AD9" w:rsidRPr="00E94D44">
              <w:rPr>
                <w:lang w:val="fr-FR"/>
              </w:rPr>
              <w:t>’</w:t>
            </w:r>
            <w:r w:rsidRPr="00E94D44">
              <w:rPr>
                <w:lang w:val="fr-FR"/>
              </w:rPr>
              <w:t>intégrer ce sujet dans leur programme de formation.</w:t>
            </w:r>
          </w:p>
          <w:p w14:paraId="6629CA42" w14:textId="283DD0CF" w:rsidR="00124AD9" w:rsidRPr="00E94D44" w:rsidRDefault="002A0D44" w:rsidP="00A430E8">
            <w:pPr>
              <w:pStyle w:val="ONUMFS"/>
              <w:numPr>
                <w:ilvl w:val="0"/>
                <w:numId w:val="16"/>
              </w:numPr>
              <w:ind w:left="1010" w:hanging="567"/>
              <w:rPr>
                <w:lang w:val="fr-FR"/>
              </w:rPr>
            </w:pPr>
            <w:r w:rsidRPr="00E94D44">
              <w:rPr>
                <w:lang w:val="fr-FR"/>
              </w:rPr>
              <w:t>Les participants ont indiqué que les supports du manuel étaient faciles à suivre et adaptés à leur niveau de connaissances et de compétences, et que les séminaires étaient utiles pour acquérir les connaissances et les compétences nécessaires pour pouvoir utiliser les outils du manuel et les appliquer à des initiatives concrètes en matière de mise au point de nouveaux produits.</w:t>
            </w:r>
          </w:p>
          <w:p w14:paraId="50322DE3" w14:textId="488CED04" w:rsidR="002A0D44" w:rsidRPr="00E94D44" w:rsidRDefault="002A0D44" w:rsidP="00A430E8">
            <w:pPr>
              <w:pStyle w:val="ONUMFS"/>
              <w:numPr>
                <w:ilvl w:val="0"/>
                <w:numId w:val="16"/>
              </w:numPr>
              <w:ind w:left="1010" w:hanging="567"/>
              <w:rPr>
                <w:lang w:val="fr-FR"/>
              </w:rPr>
            </w:pPr>
            <w:r w:rsidRPr="00E94D44">
              <w:rPr>
                <w:lang w:val="fr-FR"/>
              </w:rPr>
              <w:t>Les participants ont également apprécié la nouvelle méthode dynamique de formation mixte associant des supports numériques pour l</w:t>
            </w:r>
            <w:r w:rsidR="00124AD9" w:rsidRPr="00E94D44">
              <w:rPr>
                <w:lang w:val="fr-FR"/>
              </w:rPr>
              <w:t>’</w:t>
            </w:r>
            <w:r w:rsidRPr="00E94D44">
              <w:rPr>
                <w:lang w:val="fr-FR"/>
              </w:rPr>
              <w:t xml:space="preserve">autoapprentissage, qui offraient une certaine souplesse pour programmer les activités de formation, et des sessions de formation en direct, qui avaient permis des interactions et des discussions structurées, suffisamment de temps ayant été alloué à des exercices pratiques en groupe. </w:t>
            </w:r>
            <w:r w:rsidR="00E1082F" w:rsidRPr="00E94D44">
              <w:rPr>
                <w:lang w:val="fr-FR"/>
              </w:rPr>
              <w:t xml:space="preserve"> </w:t>
            </w:r>
          </w:p>
        </w:tc>
      </w:tr>
      <w:tr w:rsidR="002A0D44" w:rsidRPr="00E94D44" w14:paraId="7441596A" w14:textId="77777777" w:rsidTr="005A5A9F">
        <w:trPr>
          <w:trHeight w:val="711"/>
        </w:trPr>
        <w:tc>
          <w:tcPr>
            <w:tcW w:w="2377" w:type="dxa"/>
            <w:shd w:val="clear" w:color="auto" w:fill="8DB3E1"/>
          </w:tcPr>
          <w:p w14:paraId="044A2D2D" w14:textId="77777777" w:rsidR="002A0D44" w:rsidRPr="00E94D44" w:rsidRDefault="002A0D44" w:rsidP="009940FE">
            <w:pPr>
              <w:pStyle w:val="ONUMFS"/>
              <w:numPr>
                <w:ilvl w:val="0"/>
                <w:numId w:val="0"/>
              </w:numPr>
              <w:ind w:left="134"/>
              <w:rPr>
                <w:lang w:val="fr-FR"/>
              </w:rPr>
            </w:pPr>
            <w:r w:rsidRPr="00E94D44">
              <w:rPr>
                <w:u w:val="single"/>
                <w:lang w:val="fr-FR"/>
              </w:rPr>
              <w:t>Expérience acquise et enseignements tirés</w:t>
            </w:r>
          </w:p>
        </w:tc>
        <w:tc>
          <w:tcPr>
            <w:tcW w:w="6913" w:type="dxa"/>
          </w:tcPr>
          <w:p w14:paraId="5CF18B2E" w14:textId="57A727BF" w:rsidR="00124AD9" w:rsidRPr="00E94D44" w:rsidRDefault="002A0D44" w:rsidP="00A430E8">
            <w:pPr>
              <w:pStyle w:val="ONUMFS"/>
              <w:numPr>
                <w:ilvl w:val="0"/>
                <w:numId w:val="0"/>
              </w:numPr>
              <w:ind w:left="160"/>
              <w:rPr>
                <w:lang w:val="fr-FR"/>
              </w:rPr>
            </w:pPr>
            <w:r w:rsidRPr="00E94D44">
              <w:rPr>
                <w:lang w:val="fr-FR"/>
              </w:rPr>
              <w:t>La sélection d</w:t>
            </w:r>
            <w:r w:rsidR="00124AD9" w:rsidRPr="00E94D44">
              <w:rPr>
                <w:lang w:val="fr-FR"/>
              </w:rPr>
              <w:t>’</w:t>
            </w:r>
            <w:r w:rsidRPr="00E94D44">
              <w:rPr>
                <w:lang w:val="fr-FR"/>
              </w:rPr>
              <w:t>experts ayant à la fois une excellente connaissance du sujet et une expérience pratique de la formation sur le sujet pour des publics de pays en développement s</w:t>
            </w:r>
            <w:r w:rsidR="00124AD9" w:rsidRPr="00E94D44">
              <w:rPr>
                <w:lang w:val="fr-FR"/>
              </w:rPr>
              <w:t>’</w:t>
            </w:r>
            <w:r w:rsidRPr="00E94D44">
              <w:rPr>
                <w:lang w:val="fr-FR"/>
              </w:rPr>
              <w:t>est révélée efficace pour l</w:t>
            </w:r>
            <w:r w:rsidR="00124AD9" w:rsidRPr="00E94D44">
              <w:rPr>
                <w:lang w:val="fr-FR"/>
              </w:rPr>
              <w:t>’</w:t>
            </w:r>
            <w:r w:rsidRPr="00E94D44">
              <w:rPr>
                <w:lang w:val="fr-FR"/>
              </w:rPr>
              <w:t>élaboration du contenu du manuel et des supports de formation correspondants.</w:t>
            </w:r>
          </w:p>
          <w:p w14:paraId="0ADD16C8" w14:textId="0D013B76" w:rsidR="002A0D44" w:rsidRPr="00E94D44" w:rsidRDefault="002A0D44" w:rsidP="00A430E8">
            <w:pPr>
              <w:pStyle w:val="ONUMFS"/>
              <w:numPr>
                <w:ilvl w:val="0"/>
                <w:numId w:val="0"/>
              </w:numPr>
              <w:ind w:left="160"/>
              <w:rPr>
                <w:lang w:val="fr-FR"/>
              </w:rPr>
            </w:pPr>
            <w:r w:rsidRPr="00E94D44">
              <w:rPr>
                <w:lang w:val="fr-FR"/>
              </w:rPr>
              <w:t>Si l</w:t>
            </w:r>
            <w:r w:rsidR="00124AD9" w:rsidRPr="00E94D44">
              <w:rPr>
                <w:lang w:val="fr-FR"/>
              </w:rPr>
              <w:t>’</w:t>
            </w:r>
            <w:r w:rsidRPr="00E94D44">
              <w:rPr>
                <w:lang w:val="fr-FR"/>
              </w:rPr>
              <w:t>évaluation collégiale du manuel n</w:t>
            </w:r>
            <w:r w:rsidR="00124AD9" w:rsidRPr="00E94D44">
              <w:rPr>
                <w:lang w:val="fr-FR"/>
              </w:rPr>
              <w:t>’</w:t>
            </w:r>
            <w:r w:rsidRPr="00E94D44">
              <w:rPr>
                <w:lang w:val="fr-FR"/>
              </w:rPr>
              <w:t>avait pas été prévue dans le cadre du projet, cette étape supplémentaire a été jugée très importante i) pour faire en sorte que les points de vue juridique et commercial soient dûment pris en compte dans la mise au point de nouveaux produits et ii)</w:t>
            </w:r>
            <w:r w:rsidR="00E1082F" w:rsidRPr="00E94D44">
              <w:rPr>
                <w:lang w:val="fr-FR"/>
              </w:rPr>
              <w:t> </w:t>
            </w:r>
            <w:r w:rsidRPr="00E94D44">
              <w:rPr>
                <w:lang w:val="fr-FR"/>
              </w:rPr>
              <w:t>pour améliorer la qualité des produits fina</w:t>
            </w:r>
            <w:r w:rsidR="00C84D5E" w:rsidRPr="00E94D44">
              <w:rPr>
                <w:lang w:val="fr-FR"/>
              </w:rPr>
              <w:t>ux.  Un</w:t>
            </w:r>
            <w:r w:rsidRPr="00E94D44">
              <w:rPr>
                <w:lang w:val="fr-FR"/>
              </w:rPr>
              <w:t>e évaluation collégiale a donc été financée au titre du budget ordinaire du Département de la propriété intellectuelle au service des innovateurs.</w:t>
            </w:r>
          </w:p>
          <w:p w14:paraId="1A62D29C" w14:textId="4112168E" w:rsidR="00124AD9" w:rsidRPr="00E94D44" w:rsidRDefault="002A0D44" w:rsidP="00A430E8">
            <w:pPr>
              <w:pStyle w:val="ONUMFS"/>
              <w:numPr>
                <w:ilvl w:val="0"/>
                <w:numId w:val="0"/>
              </w:numPr>
              <w:ind w:left="160"/>
              <w:rPr>
                <w:lang w:val="fr-FR"/>
              </w:rPr>
            </w:pPr>
            <w:r w:rsidRPr="00E94D44">
              <w:rPr>
                <w:lang w:val="fr-FR"/>
              </w:rPr>
              <w:t>S</w:t>
            </w:r>
            <w:r w:rsidR="00124AD9" w:rsidRPr="00E94D44">
              <w:rPr>
                <w:lang w:val="fr-FR"/>
              </w:rPr>
              <w:t>’</w:t>
            </w:r>
            <w:r w:rsidRPr="00E94D44">
              <w:rPr>
                <w:lang w:val="fr-FR"/>
              </w:rPr>
              <w:t>agissant du processus de production vidéo pour la réalisation de courtes vidéos explicatives, la participation des spécialistes du domaine à l</w:t>
            </w:r>
            <w:r w:rsidR="00124AD9" w:rsidRPr="00E94D44">
              <w:rPr>
                <w:lang w:val="fr-FR"/>
              </w:rPr>
              <w:t>’</w:t>
            </w:r>
            <w:r w:rsidRPr="00E94D44">
              <w:rPr>
                <w:lang w:val="fr-FR"/>
              </w:rPr>
              <w:t>ensemble du processus</w:t>
            </w:r>
            <w:r w:rsidR="00124AD9" w:rsidRPr="00E94D44">
              <w:rPr>
                <w:lang w:val="fr-FR"/>
              </w:rPr>
              <w:t xml:space="preserve"> – </w:t>
            </w:r>
            <w:r w:rsidRPr="00E94D44">
              <w:rPr>
                <w:lang w:val="fr-FR"/>
              </w:rPr>
              <w:t>de la rédaction des scénarios et des scénarios en images aux animations finales</w:t>
            </w:r>
            <w:r w:rsidR="00124AD9" w:rsidRPr="00E94D44">
              <w:rPr>
                <w:lang w:val="fr-FR"/>
              </w:rPr>
              <w:t xml:space="preserve"> – </w:t>
            </w:r>
            <w:r w:rsidRPr="00E94D44">
              <w:rPr>
                <w:lang w:val="fr-FR"/>
              </w:rPr>
              <w:t>a été très utile pour s</w:t>
            </w:r>
            <w:r w:rsidR="00124AD9" w:rsidRPr="00E94D44">
              <w:rPr>
                <w:lang w:val="fr-FR"/>
              </w:rPr>
              <w:t>’</w:t>
            </w:r>
            <w:r w:rsidRPr="00E94D44">
              <w:rPr>
                <w:lang w:val="fr-FR"/>
              </w:rPr>
              <w:t>assurer que les messages et notions essentiels étaient présentés de manière appropriée dans les vidé</w:t>
            </w:r>
            <w:r w:rsidR="00C84D5E" w:rsidRPr="00E94D44">
              <w:rPr>
                <w:lang w:val="fr-FR"/>
              </w:rPr>
              <w:t>os.  En</w:t>
            </w:r>
            <w:r w:rsidRPr="00E94D44">
              <w:rPr>
                <w:lang w:val="fr-FR"/>
              </w:rPr>
              <w:t xml:space="preserve"> particulier, les travaux menés par ces spécialistes en amont pour rédiger des propositions de scénarios et d</w:t>
            </w:r>
            <w:r w:rsidR="00124AD9" w:rsidRPr="00E94D44">
              <w:rPr>
                <w:lang w:val="fr-FR"/>
              </w:rPr>
              <w:t>’</w:t>
            </w:r>
            <w:r w:rsidRPr="00E94D44">
              <w:rPr>
                <w:lang w:val="fr-FR"/>
              </w:rPr>
              <w:t>illustrations pour les vidéos ont été essentiels pour permettre à la société de production de vidéos de comprendre le message clé que chaque vidéo devait présenter.</w:t>
            </w:r>
          </w:p>
          <w:p w14:paraId="305E8018" w14:textId="0352D6F7" w:rsidR="00124AD9" w:rsidRPr="00E94D44" w:rsidRDefault="002A0D44" w:rsidP="00A430E8">
            <w:pPr>
              <w:pStyle w:val="ONUMFS"/>
              <w:numPr>
                <w:ilvl w:val="0"/>
                <w:numId w:val="0"/>
              </w:numPr>
              <w:ind w:left="160"/>
              <w:rPr>
                <w:lang w:val="fr-FR"/>
              </w:rPr>
            </w:pPr>
            <w:r w:rsidRPr="00E94D44">
              <w:rPr>
                <w:lang w:val="fr-FR"/>
              </w:rPr>
              <w:t>Concernant les séminaires de formation, la nouvelle méthode de formation par apprentissage mixte menée à titre expérimental dans les réseaux de CATI de Malaisie et des Philippines s</w:t>
            </w:r>
            <w:r w:rsidR="00124AD9" w:rsidRPr="00E94D44">
              <w:rPr>
                <w:lang w:val="fr-FR"/>
              </w:rPr>
              <w:t>’</w:t>
            </w:r>
            <w:r w:rsidRPr="00E94D44">
              <w:rPr>
                <w:lang w:val="fr-FR"/>
              </w:rPr>
              <w:t>est révélée être un moyen efficace de dispenser la formation, comme l</w:t>
            </w:r>
            <w:r w:rsidR="00124AD9" w:rsidRPr="00E94D44">
              <w:rPr>
                <w:lang w:val="fr-FR"/>
              </w:rPr>
              <w:t>’</w:t>
            </w:r>
            <w:r w:rsidRPr="00E94D44">
              <w:rPr>
                <w:lang w:val="fr-FR"/>
              </w:rPr>
              <w:t>ont indiqué les participants et le spécialiste de l</w:t>
            </w:r>
            <w:r w:rsidR="00124AD9" w:rsidRPr="00E94D44">
              <w:rPr>
                <w:lang w:val="fr-FR"/>
              </w:rPr>
              <w:t>’</w:t>
            </w:r>
            <w:r w:rsidRPr="00E94D44">
              <w:rPr>
                <w:lang w:val="fr-FR"/>
              </w:rPr>
              <w:t>apprentissage chargé de recueillir des informations sur le processus d</w:t>
            </w:r>
            <w:r w:rsidR="00124AD9" w:rsidRPr="00E94D44">
              <w:rPr>
                <w:lang w:val="fr-FR"/>
              </w:rPr>
              <w:t>’</w:t>
            </w:r>
            <w:r w:rsidRPr="00E94D44">
              <w:rPr>
                <w:lang w:val="fr-FR"/>
              </w:rPr>
              <w:t>un point de vue pédagogiq</w:t>
            </w:r>
            <w:r w:rsidR="00C84D5E" w:rsidRPr="00E94D44">
              <w:rPr>
                <w:lang w:val="fr-FR"/>
              </w:rPr>
              <w:t>ue.  Bi</w:t>
            </w:r>
            <w:r w:rsidRPr="00E94D44">
              <w:rPr>
                <w:lang w:val="fr-FR"/>
              </w:rPr>
              <w:t>en que certains modules de ce cours gagneraient à être dispensés en personne, l</w:t>
            </w:r>
            <w:r w:rsidR="00124AD9" w:rsidRPr="00E94D44">
              <w:rPr>
                <w:lang w:val="fr-FR"/>
              </w:rPr>
              <w:t>’</w:t>
            </w:r>
            <w:r w:rsidRPr="00E94D44">
              <w:rPr>
                <w:lang w:val="fr-FR"/>
              </w:rPr>
              <w:t>organisation virtuelle de la formation a permis de réunir les participants des deux</w:t>
            </w:r>
            <w:r w:rsidR="00E1082F" w:rsidRPr="00E94D44">
              <w:rPr>
                <w:lang w:val="fr-FR"/>
              </w:rPr>
              <w:t> </w:t>
            </w:r>
            <w:r w:rsidRPr="00E94D44">
              <w:rPr>
                <w:lang w:val="fr-FR"/>
              </w:rPr>
              <w:t>réseaux de CATI et de favoriser le partage de données d</w:t>
            </w:r>
            <w:r w:rsidR="00124AD9" w:rsidRPr="00E94D44">
              <w:rPr>
                <w:lang w:val="fr-FR"/>
              </w:rPr>
              <w:t>’</w:t>
            </w:r>
            <w:r w:rsidRPr="00E94D44">
              <w:rPr>
                <w:lang w:val="fr-FR"/>
              </w:rPr>
              <w:t>expérience et la mise en réseau d</w:t>
            </w:r>
            <w:r w:rsidR="00124AD9" w:rsidRPr="00E94D44">
              <w:rPr>
                <w:lang w:val="fr-FR"/>
              </w:rPr>
              <w:t>’</w:t>
            </w:r>
            <w:r w:rsidRPr="00E94D44">
              <w:rPr>
                <w:lang w:val="fr-FR"/>
              </w:rPr>
              <w:t>une manière rentable.</w:t>
            </w:r>
          </w:p>
          <w:p w14:paraId="056AFB8F" w14:textId="1C0D84F2" w:rsidR="002A0D44" w:rsidRPr="00E94D44" w:rsidRDefault="002A0D44" w:rsidP="00A430E8">
            <w:pPr>
              <w:pStyle w:val="ONUMFS"/>
              <w:numPr>
                <w:ilvl w:val="0"/>
                <w:numId w:val="0"/>
              </w:numPr>
              <w:ind w:left="160"/>
              <w:rPr>
                <w:lang w:val="fr-FR"/>
              </w:rPr>
            </w:pPr>
            <w:r w:rsidRPr="00E94D44">
              <w:rPr>
                <w:lang w:val="fr-FR"/>
              </w:rPr>
              <w:t>Les enseignements tirés ainsi que les bonnes pratiques et les lacunes recensées en lien avec cette méthode de formation seront particulièrement utiles pour adapter les supports et la méthode en vue de futures formations sur ce sujet et pour apporter des améliorations éventuelles au cours.  Les enseignements tirés constitueront également des apports utiles pour la conception d</w:t>
            </w:r>
            <w:r w:rsidR="00124AD9" w:rsidRPr="00E94D44">
              <w:rPr>
                <w:lang w:val="fr-FR"/>
              </w:rPr>
              <w:t>’</w:t>
            </w:r>
            <w:r w:rsidRPr="00E94D44">
              <w:rPr>
                <w:lang w:val="fr-FR"/>
              </w:rPr>
              <w:t xml:space="preserve">autres activités de formation impliquant une méthode similaire.  </w:t>
            </w:r>
          </w:p>
        </w:tc>
      </w:tr>
      <w:tr w:rsidR="002A0D44" w:rsidRPr="00E94D44" w14:paraId="3194892D" w14:textId="77777777" w:rsidTr="005A5A9F">
        <w:trPr>
          <w:trHeight w:val="631"/>
        </w:trPr>
        <w:tc>
          <w:tcPr>
            <w:tcW w:w="2377" w:type="dxa"/>
            <w:shd w:val="clear" w:color="auto" w:fill="8DB3E1"/>
          </w:tcPr>
          <w:p w14:paraId="0A1027C1" w14:textId="642524E8" w:rsidR="002A0D44" w:rsidRPr="00E94D44" w:rsidRDefault="002A0D44" w:rsidP="009940FE">
            <w:pPr>
              <w:pStyle w:val="ONUMFS"/>
              <w:numPr>
                <w:ilvl w:val="0"/>
                <w:numId w:val="0"/>
              </w:numPr>
              <w:ind w:left="134"/>
              <w:rPr>
                <w:lang w:val="fr-FR"/>
              </w:rPr>
            </w:pPr>
            <w:r w:rsidRPr="00E94D44">
              <w:rPr>
                <w:u w:val="single"/>
                <w:lang w:val="fr-FR"/>
              </w:rPr>
              <w:t>Risques et mesures d</w:t>
            </w:r>
            <w:r w:rsidR="00124AD9" w:rsidRPr="00E94D44">
              <w:rPr>
                <w:u w:val="single"/>
                <w:lang w:val="fr-FR"/>
              </w:rPr>
              <w:t>’</w:t>
            </w:r>
            <w:r w:rsidRPr="00E94D44">
              <w:rPr>
                <w:u w:val="single"/>
                <w:lang w:val="fr-FR"/>
              </w:rPr>
              <w:t>atténuation</w:t>
            </w:r>
          </w:p>
        </w:tc>
        <w:tc>
          <w:tcPr>
            <w:tcW w:w="6913" w:type="dxa"/>
          </w:tcPr>
          <w:p w14:paraId="28D1CE7D" w14:textId="4DB1E8C5" w:rsidR="002A0D44" w:rsidRPr="00E94D44" w:rsidRDefault="002A0D44" w:rsidP="00A430E8">
            <w:pPr>
              <w:pStyle w:val="ONUMFS"/>
              <w:numPr>
                <w:ilvl w:val="0"/>
                <w:numId w:val="0"/>
              </w:numPr>
              <w:ind w:left="160"/>
              <w:rPr>
                <w:lang w:val="fr-FR"/>
              </w:rPr>
            </w:pPr>
            <w:r w:rsidRPr="00E94D44">
              <w:rPr>
                <w:lang w:val="fr-FR"/>
              </w:rPr>
              <w:t>Risque n° 1</w:t>
            </w:r>
            <w:r w:rsidR="00124AD9" w:rsidRPr="00E94D44">
              <w:rPr>
                <w:lang w:val="fr-FR"/>
              </w:rPr>
              <w:t> :</w:t>
            </w:r>
            <w:r w:rsidRPr="00E94D44">
              <w:rPr>
                <w:lang w:val="fr-FR"/>
              </w:rPr>
              <w:t xml:space="preserve"> capacité insuffisante du personnel</w:t>
            </w:r>
            <w:r w:rsidR="00124AD9" w:rsidRPr="00E94D44">
              <w:rPr>
                <w:lang w:val="fr-FR"/>
              </w:rPr>
              <w:t xml:space="preserve"> des CAT</w:t>
            </w:r>
            <w:r w:rsidRPr="00E94D44">
              <w:rPr>
                <w:lang w:val="fr-FR"/>
              </w:rPr>
              <w:t>I de comprendre et d</w:t>
            </w:r>
            <w:r w:rsidR="00124AD9" w:rsidRPr="00E94D44">
              <w:rPr>
                <w:lang w:val="fr-FR"/>
              </w:rPr>
              <w:t>’</w:t>
            </w:r>
            <w:r w:rsidRPr="00E94D44">
              <w:rPr>
                <w:lang w:val="fr-FR"/>
              </w:rPr>
              <w:t>utiliser efficacement les informations contenues dans les manuels.</w:t>
            </w:r>
          </w:p>
          <w:p w14:paraId="13EB4DCE" w14:textId="3D3BA888" w:rsidR="002A0D44" w:rsidRPr="00E94D44" w:rsidRDefault="002A0D44" w:rsidP="00A430E8">
            <w:pPr>
              <w:pStyle w:val="ONUMFS"/>
              <w:numPr>
                <w:ilvl w:val="0"/>
                <w:numId w:val="0"/>
              </w:numPr>
              <w:ind w:left="160"/>
              <w:rPr>
                <w:lang w:val="fr-FR"/>
              </w:rPr>
            </w:pPr>
            <w:r w:rsidRPr="00E94D44">
              <w:rPr>
                <w:lang w:val="fr-FR"/>
              </w:rPr>
              <w:t>Mesure d</w:t>
            </w:r>
            <w:r w:rsidR="00124AD9" w:rsidRPr="00E94D44">
              <w:rPr>
                <w:lang w:val="fr-FR"/>
              </w:rPr>
              <w:t>’</w:t>
            </w:r>
            <w:r w:rsidRPr="00E94D44">
              <w:rPr>
                <w:lang w:val="fr-FR"/>
              </w:rPr>
              <w:t>atténuation n° 1</w:t>
            </w:r>
            <w:r w:rsidR="00124AD9" w:rsidRPr="00E94D44">
              <w:rPr>
                <w:lang w:val="fr-FR"/>
              </w:rPr>
              <w:t> :</w:t>
            </w:r>
            <w:r w:rsidRPr="00E94D44">
              <w:rPr>
                <w:lang w:val="fr-FR"/>
              </w:rPr>
              <w:t xml:space="preserve"> le manuel et les supports de formation connexes continueront d</w:t>
            </w:r>
            <w:r w:rsidR="00124AD9" w:rsidRPr="00E94D44">
              <w:rPr>
                <w:lang w:val="fr-FR"/>
              </w:rPr>
              <w:t>’</w:t>
            </w:r>
            <w:r w:rsidRPr="00E94D44">
              <w:rPr>
                <w:lang w:val="fr-FR"/>
              </w:rPr>
              <w:t>être adaptés aux capacités du personnel</w:t>
            </w:r>
            <w:r w:rsidR="00124AD9" w:rsidRPr="00E94D44">
              <w:rPr>
                <w:lang w:val="fr-FR"/>
              </w:rPr>
              <w:t xml:space="preserve"> des CAT</w:t>
            </w:r>
            <w:r w:rsidRPr="00E94D44">
              <w:rPr>
                <w:lang w:val="fr-FR"/>
              </w:rPr>
              <w:t>I telles qu</w:t>
            </w:r>
            <w:r w:rsidR="00124AD9" w:rsidRPr="00E94D44">
              <w:rPr>
                <w:lang w:val="fr-FR"/>
              </w:rPr>
              <w:t>’</w:t>
            </w:r>
            <w:r w:rsidRPr="00E94D44">
              <w:rPr>
                <w:lang w:val="fr-FR"/>
              </w:rPr>
              <w:t>elles ont été évaluées ainsi qu</w:t>
            </w:r>
            <w:r w:rsidR="00124AD9" w:rsidRPr="00E94D44">
              <w:rPr>
                <w:lang w:val="fr-FR"/>
              </w:rPr>
              <w:t>’</w:t>
            </w:r>
            <w:r w:rsidRPr="00E94D44">
              <w:rPr>
                <w:lang w:val="fr-FR"/>
              </w:rPr>
              <w:t>à leur situation afin de s</w:t>
            </w:r>
            <w:r w:rsidR="00124AD9" w:rsidRPr="00E94D44">
              <w:rPr>
                <w:lang w:val="fr-FR"/>
              </w:rPr>
              <w:t>’</w:t>
            </w:r>
            <w:r w:rsidRPr="00E94D44">
              <w:rPr>
                <w:lang w:val="fr-FR"/>
              </w:rPr>
              <w:t>assurer que les exemples utilisés sont pertinents.</w:t>
            </w:r>
          </w:p>
          <w:p w14:paraId="45149ABF" w14:textId="34BD3084" w:rsidR="002A0D44" w:rsidRPr="00E94D44" w:rsidRDefault="002A0D44" w:rsidP="00A430E8">
            <w:pPr>
              <w:pStyle w:val="ONUMFS"/>
              <w:numPr>
                <w:ilvl w:val="0"/>
                <w:numId w:val="0"/>
              </w:numPr>
              <w:ind w:left="160"/>
              <w:rPr>
                <w:lang w:val="fr-FR"/>
              </w:rPr>
            </w:pPr>
            <w:r w:rsidRPr="00E94D44">
              <w:rPr>
                <w:lang w:val="fr-FR"/>
              </w:rPr>
              <w:t>Risque n° 2</w:t>
            </w:r>
            <w:r w:rsidR="00124AD9" w:rsidRPr="00E94D44">
              <w:rPr>
                <w:lang w:val="fr-FR"/>
              </w:rPr>
              <w:t> :</w:t>
            </w:r>
            <w:r w:rsidRPr="00E94D44">
              <w:rPr>
                <w:lang w:val="fr-FR"/>
              </w:rPr>
              <w:t xml:space="preserve"> niveau de maturité insuffisant</w:t>
            </w:r>
            <w:r w:rsidR="00124AD9" w:rsidRPr="00E94D44">
              <w:rPr>
                <w:lang w:val="fr-FR"/>
              </w:rPr>
              <w:t xml:space="preserve"> des CAT</w:t>
            </w:r>
            <w:r w:rsidRPr="00E94D44">
              <w:rPr>
                <w:lang w:val="fr-FR"/>
              </w:rPr>
              <w:t>I pour développer et offrir des services relatifs à l</w:t>
            </w:r>
            <w:r w:rsidR="00124AD9" w:rsidRPr="00E94D44">
              <w:rPr>
                <w:lang w:val="fr-FR"/>
              </w:rPr>
              <w:t>’</w:t>
            </w:r>
            <w:r w:rsidRPr="00E94D44">
              <w:rPr>
                <w:lang w:val="fr-FR"/>
              </w:rPr>
              <w:t>utilisation des inventions relevant du domaine public.</w:t>
            </w:r>
          </w:p>
          <w:p w14:paraId="42817318" w14:textId="58FAF9E4" w:rsidR="002A0D44" w:rsidRPr="00E94D44" w:rsidRDefault="002A0D44" w:rsidP="00A430E8">
            <w:pPr>
              <w:pStyle w:val="ONUMFS"/>
              <w:numPr>
                <w:ilvl w:val="0"/>
                <w:numId w:val="0"/>
              </w:numPr>
              <w:ind w:left="160"/>
              <w:rPr>
                <w:lang w:val="fr-FR"/>
              </w:rPr>
            </w:pPr>
            <w:r w:rsidRPr="00E94D44">
              <w:rPr>
                <w:lang w:val="fr-FR"/>
              </w:rPr>
              <w:t>Mesure d</w:t>
            </w:r>
            <w:r w:rsidR="00124AD9" w:rsidRPr="00E94D44">
              <w:rPr>
                <w:lang w:val="fr-FR"/>
              </w:rPr>
              <w:t>’</w:t>
            </w:r>
            <w:r w:rsidRPr="00E94D44">
              <w:rPr>
                <w:lang w:val="fr-FR"/>
              </w:rPr>
              <w:t>atténuation n° 2</w:t>
            </w:r>
            <w:r w:rsidR="00124AD9" w:rsidRPr="00E94D44">
              <w:rPr>
                <w:lang w:val="fr-FR"/>
              </w:rPr>
              <w:t> : les CAT</w:t>
            </w:r>
            <w:r w:rsidRPr="00E94D44">
              <w:rPr>
                <w:lang w:val="fr-FR"/>
              </w:rPr>
              <w:t>I ayant un niveau de maturité suffisant seront retenus pour participer à de futures formations sur ce suj</w:t>
            </w:r>
            <w:r w:rsidR="00C84D5E" w:rsidRPr="00E94D44">
              <w:rPr>
                <w:lang w:val="fr-FR"/>
              </w:rPr>
              <w:t>et.  Le</w:t>
            </w:r>
            <w:r w:rsidRPr="00E94D44">
              <w:rPr>
                <w:lang w:val="fr-FR"/>
              </w:rPr>
              <w:t>s participants seront sélectionnés en étroite coordination avec les coordonnateurs des réseaux nationaux de CATI afin de s</w:t>
            </w:r>
            <w:r w:rsidR="00124AD9" w:rsidRPr="00E94D44">
              <w:rPr>
                <w:lang w:val="fr-FR"/>
              </w:rPr>
              <w:t>’</w:t>
            </w:r>
            <w:r w:rsidRPr="00E94D44">
              <w:rPr>
                <w:lang w:val="fr-FR"/>
              </w:rPr>
              <w:t>assurer qu</w:t>
            </w:r>
            <w:r w:rsidR="00124AD9" w:rsidRPr="00E94D44">
              <w:rPr>
                <w:lang w:val="fr-FR"/>
              </w:rPr>
              <w:t>’</w:t>
            </w:r>
            <w:r w:rsidRPr="00E94D44">
              <w:rPr>
                <w:lang w:val="fr-FR"/>
              </w:rPr>
              <w:t>ils remplissent les critères pour s</w:t>
            </w:r>
            <w:r w:rsidR="00124AD9" w:rsidRPr="00E94D44">
              <w:rPr>
                <w:lang w:val="fr-FR"/>
              </w:rPr>
              <w:t>’</w:t>
            </w:r>
            <w:r w:rsidRPr="00E94D44">
              <w:rPr>
                <w:lang w:val="fr-FR"/>
              </w:rPr>
              <w:t>inscrire à cette formation et en tirer pleinement parti.</w:t>
            </w:r>
          </w:p>
          <w:p w14:paraId="65DA8CF2" w14:textId="2F5173AD" w:rsidR="00124AD9" w:rsidRPr="00E94D44" w:rsidRDefault="002A0D44" w:rsidP="00A430E8">
            <w:pPr>
              <w:pStyle w:val="ONUMFS"/>
              <w:numPr>
                <w:ilvl w:val="0"/>
                <w:numId w:val="0"/>
              </w:numPr>
              <w:ind w:left="160"/>
              <w:rPr>
                <w:lang w:val="fr-FR"/>
              </w:rPr>
            </w:pPr>
            <w:r w:rsidRPr="00E94D44">
              <w:rPr>
                <w:lang w:val="fr-FR"/>
              </w:rPr>
              <w:t>Risque n° 3</w:t>
            </w:r>
            <w:r w:rsidR="00124AD9" w:rsidRPr="00E94D44">
              <w:rPr>
                <w:lang w:val="fr-FR"/>
              </w:rPr>
              <w:t> :</w:t>
            </w:r>
            <w:r w:rsidRPr="00E94D44">
              <w:rPr>
                <w:lang w:val="fr-FR"/>
              </w:rPr>
              <w:t xml:space="preserve"> impossibilité d</w:t>
            </w:r>
            <w:r w:rsidR="00124AD9" w:rsidRPr="00E94D44">
              <w:rPr>
                <w:lang w:val="fr-FR"/>
              </w:rPr>
              <w:t>’</w:t>
            </w:r>
            <w:r w:rsidRPr="00E94D44">
              <w:rPr>
                <w:lang w:val="fr-FR"/>
              </w:rPr>
              <w:t>organiser tout ou partie de la formation sur ce sujet sur place en raison de contraintes budgétaires ou autres.</w:t>
            </w:r>
          </w:p>
          <w:p w14:paraId="76C2FDEE" w14:textId="62CF7123" w:rsidR="002A0D44" w:rsidRPr="00E94D44" w:rsidRDefault="002A0D44" w:rsidP="00A430E8">
            <w:pPr>
              <w:pStyle w:val="ONUMFS"/>
              <w:numPr>
                <w:ilvl w:val="0"/>
                <w:numId w:val="0"/>
              </w:numPr>
              <w:ind w:left="160"/>
              <w:rPr>
                <w:lang w:val="fr-FR"/>
              </w:rPr>
            </w:pPr>
            <w:r w:rsidRPr="00E94D44">
              <w:rPr>
                <w:lang w:val="fr-FR"/>
              </w:rPr>
              <w:t>Mesure d</w:t>
            </w:r>
            <w:r w:rsidR="00124AD9" w:rsidRPr="00E94D44">
              <w:rPr>
                <w:lang w:val="fr-FR"/>
              </w:rPr>
              <w:t>’</w:t>
            </w:r>
            <w:r w:rsidRPr="00E94D44">
              <w:rPr>
                <w:lang w:val="fr-FR"/>
              </w:rPr>
              <w:t>atténuation n° 3</w:t>
            </w:r>
            <w:r w:rsidR="00124AD9" w:rsidRPr="00E94D44">
              <w:rPr>
                <w:lang w:val="fr-FR"/>
              </w:rPr>
              <w:t> :</w:t>
            </w:r>
            <w:r w:rsidRPr="00E94D44">
              <w:rPr>
                <w:lang w:val="fr-FR"/>
              </w:rPr>
              <w:t xml:space="preserve"> la méthode d</w:t>
            </w:r>
            <w:r w:rsidR="00124AD9" w:rsidRPr="00E94D44">
              <w:rPr>
                <w:lang w:val="fr-FR"/>
              </w:rPr>
              <w:t>’</w:t>
            </w:r>
            <w:r w:rsidRPr="00E94D44">
              <w:rPr>
                <w:lang w:val="fr-FR"/>
              </w:rPr>
              <w:t>apprentissage mixte et modulaire et les supports de formation continueront d</w:t>
            </w:r>
            <w:r w:rsidR="00124AD9" w:rsidRPr="00E94D44">
              <w:rPr>
                <w:lang w:val="fr-FR"/>
              </w:rPr>
              <w:t>’</w:t>
            </w:r>
            <w:r w:rsidRPr="00E94D44">
              <w:rPr>
                <w:lang w:val="fr-FR"/>
              </w:rPr>
              <w:t>être adaptés afin de garantir que la formation puisse avoir l</w:t>
            </w:r>
            <w:r w:rsidR="00124AD9" w:rsidRPr="00E94D44">
              <w:rPr>
                <w:lang w:val="fr-FR"/>
              </w:rPr>
              <w:t>’</w:t>
            </w:r>
            <w:r w:rsidRPr="00E94D44">
              <w:rPr>
                <w:lang w:val="fr-FR"/>
              </w:rPr>
              <w:t xml:space="preserve">impact souhaité, même si elle doit être dispensée de manière entièrement virtuelle.  </w:t>
            </w:r>
          </w:p>
        </w:tc>
      </w:tr>
      <w:tr w:rsidR="002A0D44" w:rsidRPr="00E94D44" w14:paraId="2F197B6D" w14:textId="77777777" w:rsidTr="005A5A9F">
        <w:trPr>
          <w:trHeight w:val="703"/>
        </w:trPr>
        <w:tc>
          <w:tcPr>
            <w:tcW w:w="2377" w:type="dxa"/>
            <w:shd w:val="clear" w:color="auto" w:fill="8DB3E1"/>
          </w:tcPr>
          <w:p w14:paraId="2A5F449D" w14:textId="77777777" w:rsidR="002A0D44" w:rsidRPr="00E94D44" w:rsidRDefault="002A0D44" w:rsidP="009940FE">
            <w:pPr>
              <w:pStyle w:val="ONUMFS"/>
              <w:numPr>
                <w:ilvl w:val="0"/>
                <w:numId w:val="0"/>
              </w:numPr>
              <w:ind w:left="134"/>
              <w:rPr>
                <w:lang w:val="fr-FR"/>
              </w:rPr>
            </w:pPr>
            <w:r w:rsidRPr="00E94D44">
              <w:rPr>
                <w:u w:val="single"/>
                <w:lang w:val="fr-FR"/>
              </w:rPr>
              <w:t>Taux de réalisation du projet</w:t>
            </w:r>
          </w:p>
        </w:tc>
        <w:tc>
          <w:tcPr>
            <w:tcW w:w="6913" w:type="dxa"/>
          </w:tcPr>
          <w:p w14:paraId="23D7F688" w14:textId="2DEA23B8" w:rsidR="002A0D44" w:rsidRPr="00E94D44" w:rsidRDefault="002A0D44" w:rsidP="00A430E8">
            <w:pPr>
              <w:pStyle w:val="ONUMFS"/>
              <w:numPr>
                <w:ilvl w:val="0"/>
                <w:numId w:val="0"/>
              </w:numPr>
              <w:ind w:left="160"/>
              <w:rPr>
                <w:lang w:val="fr-FR"/>
              </w:rPr>
            </w:pPr>
            <w:r w:rsidRPr="00E94D44">
              <w:rPr>
                <w:lang w:val="fr-FR"/>
              </w:rPr>
              <w:t>Le taux d</w:t>
            </w:r>
            <w:r w:rsidR="00124AD9" w:rsidRPr="00E94D44">
              <w:rPr>
                <w:lang w:val="fr-FR"/>
              </w:rPr>
              <w:t>’</w:t>
            </w:r>
            <w:r w:rsidRPr="00E94D44">
              <w:rPr>
                <w:lang w:val="fr-FR"/>
              </w:rPr>
              <w:t>exécution du budget à la fin du mois de décembre 2023, par rapport au budget total alloué au projet, était de</w:t>
            </w:r>
            <w:r w:rsidR="00124AD9" w:rsidRPr="00E94D44">
              <w:rPr>
                <w:lang w:val="fr-FR"/>
              </w:rPr>
              <w:t> :</w:t>
            </w:r>
            <w:r w:rsidRPr="00E94D44">
              <w:rPr>
                <w:lang w:val="fr-FR"/>
              </w:rPr>
              <w:t xml:space="preserve"> 98</w:t>
            </w:r>
            <w:r w:rsidR="00E1082F" w:rsidRPr="00E94D44">
              <w:rPr>
                <w:lang w:val="fr-FR"/>
              </w:rPr>
              <w:t xml:space="preserve">%. </w:t>
            </w:r>
            <w:r w:rsidRPr="00E94D44">
              <w:rPr>
                <w:lang w:val="fr-FR"/>
              </w:rPr>
              <w:t xml:space="preserve"> Des informations plus détaillées figurent à l</w:t>
            </w:r>
            <w:r w:rsidR="00124AD9" w:rsidRPr="00E94D44">
              <w:rPr>
                <w:lang w:val="fr-FR"/>
              </w:rPr>
              <w:t>’</w:t>
            </w:r>
            <w:r w:rsidRPr="00E94D44">
              <w:rPr>
                <w:lang w:val="fr-FR"/>
              </w:rPr>
              <w:t>annexe II du présent document.</w:t>
            </w:r>
          </w:p>
        </w:tc>
      </w:tr>
      <w:tr w:rsidR="002A0D44" w:rsidRPr="00E94D44" w14:paraId="4236CF24" w14:textId="77777777" w:rsidTr="005A5A9F">
        <w:trPr>
          <w:trHeight w:val="631"/>
        </w:trPr>
        <w:tc>
          <w:tcPr>
            <w:tcW w:w="2377" w:type="dxa"/>
            <w:shd w:val="clear" w:color="auto" w:fill="8DB3E1"/>
          </w:tcPr>
          <w:p w14:paraId="7FA0CB07" w14:textId="77777777" w:rsidR="002A0D44" w:rsidRPr="00E94D44" w:rsidRDefault="002A0D44" w:rsidP="009940FE">
            <w:pPr>
              <w:pStyle w:val="ONUMFS"/>
              <w:numPr>
                <w:ilvl w:val="0"/>
                <w:numId w:val="0"/>
              </w:numPr>
              <w:ind w:left="134"/>
              <w:rPr>
                <w:lang w:val="fr-FR"/>
              </w:rPr>
            </w:pPr>
            <w:r w:rsidRPr="00E94D44">
              <w:rPr>
                <w:u w:val="single"/>
                <w:lang w:val="fr-FR"/>
              </w:rPr>
              <w:t>Rapports précédents</w:t>
            </w:r>
          </w:p>
        </w:tc>
        <w:tc>
          <w:tcPr>
            <w:tcW w:w="6913" w:type="dxa"/>
          </w:tcPr>
          <w:p w14:paraId="5699C1DB" w14:textId="05245F46" w:rsidR="002A0D44" w:rsidRPr="00E94D44" w:rsidRDefault="002A0D44" w:rsidP="00A430E8">
            <w:pPr>
              <w:pStyle w:val="ONUMFS"/>
              <w:numPr>
                <w:ilvl w:val="0"/>
                <w:numId w:val="0"/>
              </w:numPr>
              <w:ind w:left="160"/>
              <w:rPr>
                <w:lang w:val="fr-FR"/>
              </w:rPr>
            </w:pPr>
            <w:r w:rsidRPr="00E94D44">
              <w:rPr>
                <w:lang w:val="fr-FR"/>
              </w:rPr>
              <w:t>1.</w:t>
            </w:r>
            <w:r w:rsidR="00E1082F" w:rsidRPr="00E94D44">
              <w:rPr>
                <w:lang w:val="fr-FR"/>
              </w:rPr>
              <w:t xml:space="preserve"> </w:t>
            </w:r>
            <w:r w:rsidRPr="00E94D44">
              <w:rPr>
                <w:lang w:val="fr-FR"/>
              </w:rPr>
              <w:t xml:space="preserve"> Le premier rapport d</w:t>
            </w:r>
            <w:r w:rsidR="00124AD9" w:rsidRPr="00E94D44">
              <w:rPr>
                <w:lang w:val="fr-FR"/>
              </w:rPr>
              <w:t>’</w:t>
            </w:r>
            <w:r w:rsidRPr="00E94D44">
              <w:rPr>
                <w:lang w:val="fr-FR"/>
              </w:rPr>
              <w:t>avancement était contenu dans l</w:t>
            </w:r>
            <w:r w:rsidR="00124AD9" w:rsidRPr="00E94D44">
              <w:rPr>
                <w:lang w:val="fr-FR"/>
              </w:rPr>
              <w:t>’annexe V</w:t>
            </w:r>
            <w:r w:rsidRPr="00E94D44">
              <w:rPr>
                <w:lang w:val="fr-FR"/>
              </w:rPr>
              <w:t xml:space="preserve"> du </w:t>
            </w:r>
            <w:r w:rsidR="00124AD9" w:rsidRPr="00E94D44">
              <w:rPr>
                <w:lang w:val="fr-FR"/>
              </w:rPr>
              <w:t>document</w:t>
            </w:r>
            <w:r w:rsidR="0081588A" w:rsidRPr="00E94D44">
              <w:rPr>
                <w:lang w:val="fr-FR"/>
              </w:rPr>
              <w:t> </w:t>
            </w:r>
            <w:r w:rsidR="00124AD9" w:rsidRPr="00E94D44">
              <w:rPr>
                <w:lang w:val="fr-FR"/>
              </w:rPr>
              <w:t>CD</w:t>
            </w:r>
            <w:r w:rsidRPr="00E94D44">
              <w:rPr>
                <w:lang w:val="fr-FR"/>
              </w:rPr>
              <w:t>IP/29/2.</w:t>
            </w:r>
          </w:p>
          <w:p w14:paraId="63AEC134" w14:textId="0A5EE7E2" w:rsidR="002A0D44" w:rsidRPr="00E94D44" w:rsidRDefault="002A0D44" w:rsidP="00A430E8">
            <w:pPr>
              <w:pStyle w:val="ONUMFS"/>
              <w:numPr>
                <w:ilvl w:val="0"/>
                <w:numId w:val="0"/>
              </w:numPr>
              <w:ind w:left="160"/>
              <w:rPr>
                <w:lang w:val="fr-FR"/>
              </w:rPr>
            </w:pPr>
            <w:r w:rsidRPr="00E94D44">
              <w:rPr>
                <w:lang w:val="fr-FR"/>
              </w:rPr>
              <w:t xml:space="preserve">2. </w:t>
            </w:r>
            <w:r w:rsidR="00E1082F" w:rsidRPr="00E94D44">
              <w:rPr>
                <w:lang w:val="fr-FR"/>
              </w:rPr>
              <w:t xml:space="preserve"> </w:t>
            </w:r>
            <w:r w:rsidRPr="00E94D44">
              <w:rPr>
                <w:lang w:val="fr-FR"/>
              </w:rPr>
              <w:t>Le deuxième rapport d</w:t>
            </w:r>
            <w:r w:rsidR="00124AD9" w:rsidRPr="00E94D44">
              <w:rPr>
                <w:lang w:val="fr-FR"/>
              </w:rPr>
              <w:t>’</w:t>
            </w:r>
            <w:r w:rsidRPr="00E94D44">
              <w:rPr>
                <w:lang w:val="fr-FR"/>
              </w:rPr>
              <w:t>avancement était contenu dans l</w:t>
            </w:r>
            <w:r w:rsidR="00124AD9" w:rsidRPr="00E94D44">
              <w:rPr>
                <w:lang w:val="fr-FR"/>
              </w:rPr>
              <w:t>’</w:t>
            </w:r>
            <w:r w:rsidRPr="00E94D44">
              <w:rPr>
                <w:lang w:val="fr-FR"/>
              </w:rPr>
              <w:t xml:space="preserve">annexe VI du </w:t>
            </w:r>
            <w:r w:rsidR="00124AD9" w:rsidRPr="00E94D44">
              <w:rPr>
                <w:lang w:val="fr-FR"/>
              </w:rPr>
              <w:t>document</w:t>
            </w:r>
            <w:r w:rsidR="0081588A" w:rsidRPr="00E94D44">
              <w:rPr>
                <w:lang w:val="fr-FR"/>
              </w:rPr>
              <w:t> </w:t>
            </w:r>
            <w:r w:rsidR="00124AD9" w:rsidRPr="00E94D44">
              <w:rPr>
                <w:lang w:val="fr-FR"/>
              </w:rPr>
              <w:t>CD</w:t>
            </w:r>
            <w:r w:rsidRPr="00E94D44">
              <w:rPr>
                <w:lang w:val="fr-FR"/>
              </w:rPr>
              <w:t>IP/31/3.</w:t>
            </w:r>
          </w:p>
        </w:tc>
      </w:tr>
      <w:tr w:rsidR="002A0D44" w:rsidRPr="00E94D44" w14:paraId="11494CF8" w14:textId="77777777" w:rsidTr="005A5A9F">
        <w:trPr>
          <w:trHeight w:val="846"/>
        </w:trPr>
        <w:tc>
          <w:tcPr>
            <w:tcW w:w="2377" w:type="dxa"/>
            <w:shd w:val="clear" w:color="auto" w:fill="8DB3E1"/>
          </w:tcPr>
          <w:p w14:paraId="4BB57D75" w14:textId="77777777" w:rsidR="002A0D44" w:rsidRPr="00E94D44" w:rsidRDefault="002A0D44" w:rsidP="009940FE">
            <w:pPr>
              <w:pStyle w:val="ONUMFS"/>
              <w:numPr>
                <w:ilvl w:val="0"/>
                <w:numId w:val="0"/>
              </w:numPr>
              <w:ind w:left="134"/>
              <w:rPr>
                <w:lang w:val="fr-FR"/>
              </w:rPr>
            </w:pPr>
            <w:r w:rsidRPr="00E94D44">
              <w:rPr>
                <w:u w:val="single"/>
                <w:lang w:val="fr-FR"/>
              </w:rPr>
              <w:t>Suivi et diffusion</w:t>
            </w:r>
          </w:p>
        </w:tc>
        <w:tc>
          <w:tcPr>
            <w:tcW w:w="6913" w:type="dxa"/>
          </w:tcPr>
          <w:p w14:paraId="1D81033B" w14:textId="42AA97C2" w:rsidR="00124AD9" w:rsidRPr="00E94D44" w:rsidRDefault="002A0D44" w:rsidP="009940FE">
            <w:pPr>
              <w:pStyle w:val="ONUMFS"/>
              <w:numPr>
                <w:ilvl w:val="0"/>
                <w:numId w:val="0"/>
              </w:numPr>
              <w:ind w:left="160"/>
              <w:rPr>
                <w:lang w:val="fr-FR"/>
              </w:rPr>
            </w:pPr>
            <w:r w:rsidRPr="00E94D44">
              <w:rPr>
                <w:lang w:val="fr-FR"/>
              </w:rPr>
              <w:t>Les actions de suivi proposées pour assurer la durabilité du projet sont décrites ci</w:t>
            </w:r>
            <w:r w:rsidR="00510B44" w:rsidRPr="00E94D44">
              <w:rPr>
                <w:lang w:val="fr-FR"/>
              </w:rPr>
              <w:noBreakHyphen/>
            </w:r>
            <w:r w:rsidRPr="00E94D44">
              <w:rPr>
                <w:lang w:val="fr-FR"/>
              </w:rPr>
              <w:t>dessous</w:t>
            </w:r>
            <w:r w:rsidR="00124AD9" w:rsidRPr="00E94D44">
              <w:rPr>
                <w:lang w:val="fr-FR"/>
              </w:rPr>
              <w:t> :</w:t>
            </w:r>
          </w:p>
          <w:p w14:paraId="11FA50F6" w14:textId="3DC35EEA" w:rsidR="00124AD9" w:rsidRPr="00E94D44" w:rsidRDefault="002A0D44" w:rsidP="009940FE">
            <w:pPr>
              <w:pStyle w:val="ONUMFS"/>
              <w:numPr>
                <w:ilvl w:val="0"/>
                <w:numId w:val="16"/>
              </w:numPr>
              <w:ind w:left="1010" w:hanging="567"/>
              <w:rPr>
                <w:rStyle w:val="Hyperlink"/>
                <w:lang w:val="fr-FR"/>
              </w:rPr>
            </w:pPr>
            <w:r w:rsidRPr="00E94D44">
              <w:rPr>
                <w:lang w:val="fr-FR"/>
              </w:rPr>
              <w:t xml:space="preserve">Édition et conception professionnelles du manuel en vue de sa publication sur la </w:t>
            </w:r>
            <w:r w:rsidR="00124AD9" w:rsidRPr="00E94D44">
              <w:rPr>
                <w:lang w:val="fr-FR"/>
              </w:rPr>
              <w:t>page W</w:t>
            </w:r>
            <w:r w:rsidRPr="00E94D44">
              <w:rPr>
                <w:lang w:val="fr-FR"/>
              </w:rPr>
              <w:t>eb prévue à cet effet (</w:t>
            </w:r>
            <w:hyperlink r:id="rId15" w:history="1">
              <w:r w:rsidRPr="00E94D44">
                <w:rPr>
                  <w:rStyle w:val="Hyperlink"/>
                  <w:lang w:val="fr-FR"/>
                </w:rPr>
                <w:t>www.wipo.int/tisc/fr/inventions</w:t>
              </w:r>
              <w:r w:rsidR="00510B44" w:rsidRPr="00E94D44">
                <w:rPr>
                  <w:rStyle w:val="Hyperlink"/>
                  <w:lang w:val="fr-FR"/>
                </w:rPr>
                <w:noBreakHyphen/>
              </w:r>
              <w:r w:rsidRPr="00E94D44">
                <w:rPr>
                  <w:rStyle w:val="Hyperlink"/>
                  <w:lang w:val="fr-FR"/>
                </w:rPr>
                <w:t>public</w:t>
              </w:r>
              <w:r w:rsidR="00510B44" w:rsidRPr="00E94D44">
                <w:rPr>
                  <w:rStyle w:val="Hyperlink"/>
                  <w:lang w:val="fr-FR"/>
                </w:rPr>
                <w:noBreakHyphen/>
              </w:r>
              <w:r w:rsidRPr="00E94D44">
                <w:rPr>
                  <w:rStyle w:val="Hyperlink"/>
                  <w:lang w:val="fr-FR"/>
                </w:rPr>
                <w:t>domain.html</w:t>
              </w:r>
            </w:hyperlink>
            <w:r w:rsidRPr="00E94D44">
              <w:rPr>
                <w:rStyle w:val="Hyperlink"/>
                <w:lang w:val="fr-FR"/>
              </w:rPr>
              <w:t>).</w:t>
            </w:r>
          </w:p>
          <w:p w14:paraId="73F05B93" w14:textId="5E2A1971" w:rsidR="00124AD9" w:rsidRPr="00E94D44" w:rsidRDefault="002A0D44" w:rsidP="009940FE">
            <w:pPr>
              <w:pStyle w:val="ONUMFS"/>
              <w:numPr>
                <w:ilvl w:val="0"/>
                <w:numId w:val="16"/>
              </w:numPr>
              <w:ind w:left="1010" w:hanging="567"/>
              <w:rPr>
                <w:lang w:val="fr-FR"/>
              </w:rPr>
            </w:pPr>
            <w:r w:rsidRPr="00E94D44">
              <w:rPr>
                <w:lang w:val="fr-FR"/>
              </w:rPr>
              <w:t>Traduction du manuel dans toutes les langues officielles de l</w:t>
            </w:r>
            <w:r w:rsidR="00124AD9" w:rsidRPr="00E94D44">
              <w:rPr>
                <w:lang w:val="fr-FR"/>
              </w:rPr>
              <w:t>’</w:t>
            </w:r>
            <w:r w:rsidRPr="00E94D44">
              <w:rPr>
                <w:lang w:val="fr-FR"/>
              </w:rPr>
              <w:t>ONU.</w:t>
            </w:r>
          </w:p>
          <w:p w14:paraId="11C7BBDC" w14:textId="0EEDB649" w:rsidR="009940FE" w:rsidRPr="00E94D44" w:rsidRDefault="002A0D44" w:rsidP="009940FE">
            <w:pPr>
              <w:pStyle w:val="ONUMFS"/>
              <w:numPr>
                <w:ilvl w:val="0"/>
                <w:numId w:val="16"/>
              </w:numPr>
              <w:ind w:left="1010" w:hanging="567"/>
              <w:rPr>
                <w:lang w:val="fr-FR"/>
              </w:rPr>
            </w:pPr>
            <w:r w:rsidRPr="00E94D44">
              <w:rPr>
                <w:lang w:val="fr-FR"/>
              </w:rPr>
              <w:t>Réexamen de la méthode et des supports de formation à la lumière des commentaires recueillis lors de la formation pilote, en vue d</w:t>
            </w:r>
            <w:r w:rsidR="00124AD9" w:rsidRPr="00E94D44">
              <w:rPr>
                <w:lang w:val="fr-FR"/>
              </w:rPr>
              <w:t>’</w:t>
            </w:r>
            <w:r w:rsidRPr="00E94D44">
              <w:rPr>
                <w:lang w:val="fr-FR"/>
              </w:rPr>
              <w:t>adapter et d</w:t>
            </w:r>
            <w:r w:rsidR="00124AD9" w:rsidRPr="00E94D44">
              <w:rPr>
                <w:lang w:val="fr-FR"/>
              </w:rPr>
              <w:t>’</w:t>
            </w:r>
            <w:r w:rsidRPr="00E94D44">
              <w:rPr>
                <w:lang w:val="fr-FR"/>
              </w:rPr>
              <w:t>élargir la formation à d</w:t>
            </w:r>
            <w:r w:rsidR="00124AD9" w:rsidRPr="00E94D44">
              <w:rPr>
                <w:lang w:val="fr-FR"/>
              </w:rPr>
              <w:t>’</w:t>
            </w:r>
            <w:r w:rsidRPr="00E94D44">
              <w:rPr>
                <w:lang w:val="fr-FR"/>
              </w:rPr>
              <w:t>autres réseaux et parties prenantes de CATI remplissant les conditions requises.</w:t>
            </w:r>
          </w:p>
          <w:p w14:paraId="00045D99" w14:textId="676355A7" w:rsidR="009940FE" w:rsidRPr="00E94D44" w:rsidRDefault="009940FE" w:rsidP="009940FE">
            <w:pPr>
              <w:pStyle w:val="ONUMFS"/>
              <w:numPr>
                <w:ilvl w:val="0"/>
                <w:numId w:val="16"/>
              </w:numPr>
              <w:ind w:left="1010" w:hanging="567"/>
              <w:rPr>
                <w:lang w:val="fr-FR"/>
              </w:rPr>
            </w:pPr>
            <w:r w:rsidRPr="00E94D44">
              <w:rPr>
                <w:lang w:val="fr-FR"/>
              </w:rPr>
              <w:t>I</w:t>
            </w:r>
            <w:r w:rsidR="002A0D44" w:rsidRPr="00E94D44">
              <w:rPr>
                <w:lang w:val="fr-FR"/>
              </w:rPr>
              <w:t>ntégration du manuel et des supports de formation dans les formations proposées régulièrement par l</w:t>
            </w:r>
            <w:r w:rsidR="00124AD9" w:rsidRPr="00E94D44">
              <w:rPr>
                <w:lang w:val="fr-FR"/>
              </w:rPr>
              <w:t>’</w:t>
            </w:r>
            <w:r w:rsidR="002A0D44" w:rsidRPr="00E94D44">
              <w:rPr>
                <w:lang w:val="fr-FR"/>
              </w:rPr>
              <w:t>OMPI</w:t>
            </w:r>
            <w:r w:rsidR="00124AD9" w:rsidRPr="00E94D44">
              <w:rPr>
                <w:lang w:val="fr-FR"/>
              </w:rPr>
              <w:t xml:space="preserve"> aux CAT</w:t>
            </w:r>
            <w:r w:rsidR="002A0D44" w:rsidRPr="00E94D44">
              <w:rPr>
                <w:lang w:val="fr-FR"/>
              </w:rPr>
              <w:t>I et aux parties prenantes analogues, ainsi que dans d</w:t>
            </w:r>
            <w:r w:rsidR="00124AD9" w:rsidRPr="00E94D44">
              <w:rPr>
                <w:lang w:val="fr-FR"/>
              </w:rPr>
              <w:t>’</w:t>
            </w:r>
            <w:r w:rsidR="002A0D44" w:rsidRPr="00E94D44">
              <w:rPr>
                <w:lang w:val="fr-FR"/>
              </w:rPr>
              <w:t>autres activités et projets connexes, en particulier dans les domaines de la commercialisation de la propriété intellectuelle et de la propriété intellectuelle au service des entreprises.</w:t>
            </w:r>
          </w:p>
          <w:p w14:paraId="242A4689" w14:textId="56BBD43A" w:rsidR="009940FE" w:rsidRPr="00E94D44" w:rsidRDefault="002A0D44" w:rsidP="009940FE">
            <w:pPr>
              <w:pStyle w:val="ONUMFS"/>
              <w:numPr>
                <w:ilvl w:val="0"/>
                <w:numId w:val="16"/>
              </w:numPr>
              <w:ind w:left="1010" w:hanging="567"/>
              <w:rPr>
                <w:lang w:val="fr-FR"/>
              </w:rPr>
            </w:pPr>
            <w:r w:rsidRPr="00E94D44">
              <w:rPr>
                <w:lang w:val="fr-FR"/>
              </w:rPr>
              <w:t xml:space="preserve">Diffusion des ressources didactiques par les plateformes appropriées, </w:t>
            </w:r>
            <w:r w:rsidR="00124AD9" w:rsidRPr="00E94D44">
              <w:rPr>
                <w:lang w:val="fr-FR"/>
              </w:rPr>
              <w:t>y compris</w:t>
            </w:r>
            <w:r w:rsidRPr="00E94D44">
              <w:rPr>
                <w:lang w:val="fr-FR"/>
              </w:rPr>
              <w:t xml:space="preserve"> une </w:t>
            </w:r>
            <w:r w:rsidR="00124AD9" w:rsidRPr="00E94D44">
              <w:rPr>
                <w:lang w:val="fr-FR"/>
              </w:rPr>
              <w:t>page W</w:t>
            </w:r>
            <w:r w:rsidRPr="00E94D44">
              <w:rPr>
                <w:lang w:val="fr-FR"/>
              </w:rPr>
              <w:t>eb prévue à cet effet, reliée de manière appropriée à d</w:t>
            </w:r>
            <w:r w:rsidR="00124AD9" w:rsidRPr="00E94D44">
              <w:rPr>
                <w:lang w:val="fr-FR"/>
              </w:rPr>
              <w:t>’</w:t>
            </w:r>
            <w:r w:rsidRPr="00E94D44">
              <w:rPr>
                <w:lang w:val="fr-FR"/>
              </w:rPr>
              <w:t xml:space="preserve">autres </w:t>
            </w:r>
            <w:r w:rsidR="00124AD9" w:rsidRPr="00E94D44">
              <w:rPr>
                <w:lang w:val="fr-FR"/>
              </w:rPr>
              <w:t>pages W</w:t>
            </w:r>
            <w:r w:rsidRPr="00E94D44">
              <w:rPr>
                <w:lang w:val="fr-FR"/>
              </w:rPr>
              <w:t xml:space="preserve">eb connexes et à la plateforme </w:t>
            </w:r>
            <w:proofErr w:type="spellStart"/>
            <w:r w:rsidRPr="00E94D44">
              <w:rPr>
                <w:lang w:val="fr-FR"/>
              </w:rPr>
              <w:t>eTISC</w:t>
            </w:r>
            <w:proofErr w:type="spellEnd"/>
            <w:r w:rsidRPr="00E94D44">
              <w:rPr>
                <w:lang w:val="fr-FR"/>
              </w:rPr>
              <w:t>.</w:t>
            </w:r>
          </w:p>
          <w:p w14:paraId="229034E0" w14:textId="169EA542" w:rsidR="002A0D44" w:rsidRPr="00E94D44" w:rsidRDefault="002A0D44" w:rsidP="009940FE">
            <w:pPr>
              <w:pStyle w:val="ONUMFS"/>
              <w:numPr>
                <w:ilvl w:val="0"/>
                <w:numId w:val="16"/>
              </w:numPr>
              <w:ind w:left="1010" w:hanging="567"/>
              <w:rPr>
                <w:lang w:val="fr-FR"/>
              </w:rPr>
            </w:pPr>
            <w:r w:rsidRPr="00E94D44">
              <w:rPr>
                <w:lang w:val="fr-FR"/>
              </w:rPr>
              <w:t>Promotion des nouvelles ressources afin d</w:t>
            </w:r>
            <w:r w:rsidR="00124AD9" w:rsidRPr="00E94D44">
              <w:rPr>
                <w:lang w:val="fr-FR"/>
              </w:rPr>
              <w:t>’</w:t>
            </w:r>
            <w:r w:rsidRPr="00E94D44">
              <w:rPr>
                <w:lang w:val="fr-FR"/>
              </w:rPr>
              <w:t>accroître leur visibilité.</w:t>
            </w:r>
          </w:p>
        </w:tc>
      </w:tr>
    </w:tbl>
    <w:p w14:paraId="42403A5C" w14:textId="1EA65F65" w:rsidR="002A0D44" w:rsidRPr="00E94D44" w:rsidRDefault="002A0D44" w:rsidP="009940FE">
      <w:pPr>
        <w:pStyle w:val="BodyText"/>
        <w:spacing w:after="240"/>
        <w:rPr>
          <w:szCs w:val="22"/>
          <w:lang w:val="fr-FR"/>
        </w:rPr>
      </w:pPr>
      <w:r w:rsidRPr="00E94D44">
        <w:rPr>
          <w:lang w:val="fr-FR"/>
        </w:rPr>
        <w:t>AUTO</w:t>
      </w:r>
      <w:r w:rsidR="00510B44" w:rsidRPr="00E94D44">
        <w:rPr>
          <w:lang w:val="fr-FR"/>
        </w:rPr>
        <w:noBreakHyphen/>
      </w:r>
      <w:r w:rsidRPr="00E94D44">
        <w:rPr>
          <w:lang w:val="fr-FR"/>
        </w:rPr>
        <w:t>ÉVALUATION DU PROJET</w:t>
      </w:r>
    </w:p>
    <w:p w14:paraId="4219C183" w14:textId="4AEC9280" w:rsidR="002A0D44" w:rsidRPr="00E94D44" w:rsidRDefault="002A0D44" w:rsidP="009940FE">
      <w:pPr>
        <w:pStyle w:val="BodyText"/>
        <w:rPr>
          <w:szCs w:val="22"/>
          <w:lang w:val="fr-FR"/>
        </w:rPr>
      </w:pPr>
      <w:r w:rsidRPr="00E94D44">
        <w:rPr>
          <w:lang w:val="fr-FR"/>
        </w:rPr>
        <w:t>Code d</w:t>
      </w:r>
      <w:r w:rsidR="00124AD9" w:rsidRPr="00E94D44">
        <w:rPr>
          <w:lang w:val="fr-FR"/>
        </w:rPr>
        <w:t>’</w:t>
      </w:r>
      <w:r w:rsidRPr="00E94D44">
        <w:rPr>
          <w:lang w:val="fr-FR"/>
        </w:rPr>
        <w:t>évaluation</w:t>
      </w: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07"/>
        <w:gridCol w:w="1808"/>
        <w:gridCol w:w="1807"/>
        <w:gridCol w:w="1808"/>
        <w:gridCol w:w="2268"/>
      </w:tblGrid>
      <w:tr w:rsidR="002A0D44" w:rsidRPr="00E94D44" w14:paraId="3CB486F1" w14:textId="77777777" w:rsidTr="00C84D5E">
        <w:trPr>
          <w:trHeight w:val="470"/>
        </w:trPr>
        <w:tc>
          <w:tcPr>
            <w:tcW w:w="1807" w:type="dxa"/>
            <w:shd w:val="clear" w:color="auto" w:fill="7BBEDA"/>
          </w:tcPr>
          <w:p w14:paraId="02EB43DE" w14:textId="77777777" w:rsidR="002A0D44" w:rsidRPr="00E94D44" w:rsidRDefault="002A0D44" w:rsidP="005A5A9F">
            <w:pPr>
              <w:pStyle w:val="TableParagraph"/>
              <w:spacing w:before="105"/>
              <w:ind w:left="110"/>
            </w:pPr>
            <w:r w:rsidRPr="00E94D44">
              <w:t>****</w:t>
            </w:r>
          </w:p>
        </w:tc>
        <w:tc>
          <w:tcPr>
            <w:tcW w:w="1808" w:type="dxa"/>
            <w:shd w:val="clear" w:color="auto" w:fill="7BBEDA"/>
          </w:tcPr>
          <w:p w14:paraId="16974829" w14:textId="77777777" w:rsidR="002A0D44" w:rsidRPr="00E94D44" w:rsidRDefault="002A0D44" w:rsidP="005A5A9F">
            <w:pPr>
              <w:pStyle w:val="TableParagraph"/>
              <w:spacing w:before="105"/>
              <w:ind w:left="110"/>
            </w:pPr>
            <w:r w:rsidRPr="00E94D44">
              <w:t>***</w:t>
            </w:r>
          </w:p>
        </w:tc>
        <w:tc>
          <w:tcPr>
            <w:tcW w:w="1807" w:type="dxa"/>
            <w:shd w:val="clear" w:color="auto" w:fill="7BBEDA"/>
          </w:tcPr>
          <w:p w14:paraId="44B7FC54" w14:textId="77777777" w:rsidR="002A0D44" w:rsidRPr="00E94D44" w:rsidRDefault="002A0D44" w:rsidP="005A5A9F">
            <w:pPr>
              <w:pStyle w:val="TableParagraph"/>
              <w:spacing w:before="105"/>
              <w:ind w:left="108"/>
            </w:pPr>
            <w:r w:rsidRPr="00E94D44">
              <w:t>**</w:t>
            </w:r>
          </w:p>
        </w:tc>
        <w:tc>
          <w:tcPr>
            <w:tcW w:w="1808" w:type="dxa"/>
            <w:shd w:val="clear" w:color="auto" w:fill="7BBEDA"/>
          </w:tcPr>
          <w:p w14:paraId="6157EC2B" w14:textId="77777777" w:rsidR="002A0D44" w:rsidRPr="00E94D44" w:rsidRDefault="002A0D44" w:rsidP="005A5A9F">
            <w:pPr>
              <w:pStyle w:val="TableParagraph"/>
              <w:spacing w:before="105"/>
              <w:ind w:left="108"/>
            </w:pPr>
            <w:r w:rsidRPr="00E94D44">
              <w:t>AP</w:t>
            </w:r>
          </w:p>
        </w:tc>
        <w:tc>
          <w:tcPr>
            <w:tcW w:w="2268" w:type="dxa"/>
            <w:shd w:val="clear" w:color="auto" w:fill="7BBEDA"/>
          </w:tcPr>
          <w:p w14:paraId="050C1CAB" w14:textId="77777777" w:rsidR="002A0D44" w:rsidRPr="00E94D44" w:rsidRDefault="002A0D44" w:rsidP="005A5A9F">
            <w:pPr>
              <w:pStyle w:val="TableParagraph"/>
              <w:spacing w:before="105"/>
              <w:ind w:left="110"/>
            </w:pPr>
            <w:proofErr w:type="spellStart"/>
            <w:r w:rsidRPr="00E94D44">
              <w:t>s.o</w:t>
            </w:r>
            <w:proofErr w:type="spellEnd"/>
            <w:r w:rsidRPr="00E94D44">
              <w:t>.</w:t>
            </w:r>
          </w:p>
        </w:tc>
      </w:tr>
      <w:tr w:rsidR="002A0D44" w:rsidRPr="00E94D44" w14:paraId="18DAAD9B" w14:textId="77777777" w:rsidTr="00C84D5E">
        <w:trPr>
          <w:trHeight w:val="506"/>
        </w:trPr>
        <w:tc>
          <w:tcPr>
            <w:tcW w:w="1807" w:type="dxa"/>
            <w:shd w:val="clear" w:color="auto" w:fill="7BBEDA"/>
          </w:tcPr>
          <w:p w14:paraId="74A99594" w14:textId="77777777" w:rsidR="002A0D44" w:rsidRPr="00E94D44" w:rsidRDefault="002A0D44" w:rsidP="005A5A9F">
            <w:pPr>
              <w:pStyle w:val="TableParagraph"/>
              <w:spacing w:line="252" w:lineRule="exact"/>
              <w:ind w:left="110" w:right="408"/>
            </w:pPr>
            <w:r w:rsidRPr="00E94D44">
              <w:t>Objectifs pleinement atteints</w:t>
            </w:r>
          </w:p>
        </w:tc>
        <w:tc>
          <w:tcPr>
            <w:tcW w:w="1808" w:type="dxa"/>
            <w:shd w:val="clear" w:color="auto" w:fill="7BBEDA"/>
          </w:tcPr>
          <w:p w14:paraId="28DC3A4A" w14:textId="425EB29E" w:rsidR="002A0D44" w:rsidRPr="00E94D44" w:rsidRDefault="002A0D44" w:rsidP="00C84D5E">
            <w:pPr>
              <w:pStyle w:val="TableParagraph"/>
              <w:spacing w:line="252" w:lineRule="exact"/>
              <w:ind w:left="43" w:right="687"/>
            </w:pPr>
            <w:r w:rsidRPr="00E94D44">
              <w:t>Progrès considér</w:t>
            </w:r>
            <w:r w:rsidR="00C84D5E" w:rsidRPr="00E94D44">
              <w:t>a</w:t>
            </w:r>
            <w:r w:rsidRPr="00E94D44">
              <w:t>bles</w:t>
            </w:r>
          </w:p>
        </w:tc>
        <w:tc>
          <w:tcPr>
            <w:tcW w:w="1807" w:type="dxa"/>
            <w:shd w:val="clear" w:color="auto" w:fill="7BBEDA"/>
          </w:tcPr>
          <w:p w14:paraId="23B4F589" w14:textId="77777777" w:rsidR="002A0D44" w:rsidRPr="00E94D44" w:rsidRDefault="002A0D44" w:rsidP="005A5A9F">
            <w:pPr>
              <w:pStyle w:val="TableParagraph"/>
              <w:spacing w:line="251" w:lineRule="exact"/>
              <w:ind w:left="108"/>
            </w:pPr>
            <w:r w:rsidRPr="00E94D44">
              <w:t>Quelques progrès</w:t>
            </w:r>
          </w:p>
        </w:tc>
        <w:tc>
          <w:tcPr>
            <w:tcW w:w="1808" w:type="dxa"/>
            <w:shd w:val="clear" w:color="auto" w:fill="7BBEDA"/>
          </w:tcPr>
          <w:p w14:paraId="703C5BA3" w14:textId="77777777" w:rsidR="002A0D44" w:rsidRPr="00E94D44" w:rsidRDefault="002A0D44" w:rsidP="005A5A9F">
            <w:pPr>
              <w:pStyle w:val="TableParagraph"/>
              <w:spacing w:line="251" w:lineRule="exact"/>
              <w:ind w:left="108"/>
            </w:pPr>
            <w:r w:rsidRPr="00E94D44">
              <w:t>Aucun progrès</w:t>
            </w:r>
          </w:p>
        </w:tc>
        <w:tc>
          <w:tcPr>
            <w:tcW w:w="2268" w:type="dxa"/>
            <w:shd w:val="clear" w:color="auto" w:fill="7BBEDA"/>
          </w:tcPr>
          <w:p w14:paraId="5694785F" w14:textId="77777777" w:rsidR="002A0D44" w:rsidRPr="00E94D44" w:rsidRDefault="002A0D44" w:rsidP="005A5A9F">
            <w:pPr>
              <w:pStyle w:val="TableParagraph"/>
              <w:spacing w:line="252" w:lineRule="exact"/>
              <w:ind w:left="110" w:right="203"/>
            </w:pPr>
            <w:r w:rsidRPr="00E94D44">
              <w:t>Non évalué/abandonné</w:t>
            </w:r>
          </w:p>
        </w:tc>
      </w:tr>
    </w:tbl>
    <w:p w14:paraId="776D3AF3" w14:textId="77777777" w:rsidR="002A0D44" w:rsidRPr="00E94D44" w:rsidRDefault="002A0D44" w:rsidP="002A0D44">
      <w:pPr>
        <w:pStyle w:val="BodyText"/>
        <w:spacing w:before="10"/>
        <w:rPr>
          <w:lang w:val="fr-FR"/>
        </w:rPr>
      </w:pPr>
    </w:p>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2865"/>
        <w:gridCol w:w="1412"/>
      </w:tblGrid>
      <w:tr w:rsidR="002A0D44" w:rsidRPr="00E94D44" w14:paraId="44DB5F11" w14:textId="77777777" w:rsidTr="00C84D5E">
        <w:trPr>
          <w:trHeight w:val="1265"/>
        </w:trPr>
        <w:tc>
          <w:tcPr>
            <w:tcW w:w="2520" w:type="dxa"/>
            <w:shd w:val="clear" w:color="auto" w:fill="8DB3E1"/>
            <w:vAlign w:val="center"/>
          </w:tcPr>
          <w:p w14:paraId="1C699E19" w14:textId="77777777" w:rsidR="002A0D44" w:rsidRPr="00E94D44" w:rsidRDefault="002A0D44" w:rsidP="00C84D5E">
            <w:pPr>
              <w:pStyle w:val="ONUMFS"/>
              <w:numPr>
                <w:ilvl w:val="0"/>
                <w:numId w:val="0"/>
              </w:numPr>
              <w:ind w:left="142"/>
              <w:rPr>
                <w:lang w:val="fr-FR"/>
              </w:rPr>
            </w:pPr>
            <w:r w:rsidRPr="00E94D44">
              <w:rPr>
                <w:u w:val="single"/>
                <w:lang w:val="fr-FR"/>
              </w:rPr>
              <w:t>Résultats du projet</w:t>
            </w:r>
            <w:r w:rsidRPr="00E94D44">
              <w:rPr>
                <w:lang w:val="fr-FR"/>
              </w:rPr>
              <w:t xml:space="preserve"> (Résultat escompté)</w:t>
            </w:r>
          </w:p>
        </w:tc>
        <w:tc>
          <w:tcPr>
            <w:tcW w:w="2695" w:type="dxa"/>
            <w:shd w:val="clear" w:color="auto" w:fill="8DB3E1"/>
            <w:vAlign w:val="center"/>
          </w:tcPr>
          <w:p w14:paraId="374D1D9D" w14:textId="21EB1478" w:rsidR="002A0D44" w:rsidRPr="00E94D44" w:rsidRDefault="006210C5" w:rsidP="00C84D5E">
            <w:pPr>
              <w:pStyle w:val="ONUMFS"/>
              <w:keepNext/>
              <w:keepLines/>
              <w:numPr>
                <w:ilvl w:val="0"/>
                <w:numId w:val="0"/>
              </w:numPr>
              <w:ind w:left="32"/>
              <w:rPr>
                <w:lang w:val="fr-FR"/>
              </w:rPr>
            </w:pPr>
            <w:r w:rsidRPr="00E94D44">
              <w:rPr>
                <w:u w:val="single"/>
                <w:lang w:val="fr-FR"/>
              </w:rPr>
              <w:t>I</w:t>
            </w:r>
            <w:r w:rsidR="002A0D44" w:rsidRPr="00E94D44">
              <w:rPr>
                <w:u w:val="single"/>
                <w:lang w:val="fr-FR"/>
              </w:rPr>
              <w:t>ndicateurs d</w:t>
            </w:r>
            <w:r w:rsidR="00124AD9" w:rsidRPr="00E94D44">
              <w:rPr>
                <w:u w:val="single"/>
                <w:lang w:val="fr-FR"/>
              </w:rPr>
              <w:t>’</w:t>
            </w:r>
            <w:r w:rsidR="002A0D44" w:rsidRPr="00E94D44">
              <w:rPr>
                <w:u w:val="single"/>
                <w:lang w:val="fr-FR"/>
              </w:rPr>
              <w:t>exécution</w:t>
            </w:r>
            <w:r w:rsidRPr="00E94D44">
              <w:rPr>
                <w:lang w:val="fr-FR"/>
              </w:rPr>
              <w:br/>
            </w:r>
            <w:r w:rsidR="002A0D44" w:rsidRPr="00E94D44">
              <w:rPr>
                <w:lang w:val="fr-FR"/>
              </w:rPr>
              <w:t>(indicateurs de résultats)</w:t>
            </w:r>
          </w:p>
        </w:tc>
        <w:tc>
          <w:tcPr>
            <w:tcW w:w="2865" w:type="dxa"/>
            <w:shd w:val="clear" w:color="auto" w:fill="8DB3E1"/>
            <w:vAlign w:val="center"/>
          </w:tcPr>
          <w:p w14:paraId="5C0437C0" w14:textId="1EA849A9" w:rsidR="002A0D44" w:rsidRPr="00E94D44" w:rsidRDefault="006210C5" w:rsidP="00C84D5E">
            <w:pPr>
              <w:pStyle w:val="ONUMFS"/>
              <w:numPr>
                <w:ilvl w:val="0"/>
                <w:numId w:val="0"/>
              </w:numPr>
              <w:ind w:left="25"/>
              <w:rPr>
                <w:lang w:val="fr-FR"/>
              </w:rPr>
            </w:pPr>
            <w:r w:rsidRPr="00E94D44">
              <w:rPr>
                <w:u w:val="single"/>
                <w:lang w:val="fr-FR"/>
              </w:rPr>
              <w:t>D</w:t>
            </w:r>
            <w:r w:rsidR="002A0D44" w:rsidRPr="00E94D44">
              <w:rPr>
                <w:u w:val="single"/>
                <w:lang w:val="fr-FR"/>
              </w:rPr>
              <w:t>onnées relatives à l</w:t>
            </w:r>
            <w:r w:rsidR="00124AD9" w:rsidRPr="00E94D44">
              <w:rPr>
                <w:u w:val="single"/>
                <w:lang w:val="fr-FR"/>
              </w:rPr>
              <w:t>’</w:t>
            </w:r>
            <w:r w:rsidR="002A0D44" w:rsidRPr="00E94D44">
              <w:rPr>
                <w:u w:val="single"/>
                <w:lang w:val="fr-FR"/>
              </w:rPr>
              <w:t>exécution</w:t>
            </w:r>
          </w:p>
        </w:tc>
        <w:tc>
          <w:tcPr>
            <w:tcW w:w="1412" w:type="dxa"/>
            <w:shd w:val="clear" w:color="auto" w:fill="8DB3E1"/>
            <w:vAlign w:val="center"/>
          </w:tcPr>
          <w:p w14:paraId="0E614687" w14:textId="67EDCD62" w:rsidR="002A0D44" w:rsidRPr="00E94D44" w:rsidRDefault="002A0D44" w:rsidP="00C84D5E">
            <w:pPr>
              <w:pStyle w:val="TableParagraph"/>
              <w:ind w:left="144"/>
            </w:pPr>
            <w:r w:rsidRPr="00E94D44">
              <w:rPr>
                <w:u w:val="single"/>
              </w:rPr>
              <w:t>Code d</w:t>
            </w:r>
            <w:r w:rsidR="00124AD9" w:rsidRPr="00E94D44">
              <w:rPr>
                <w:u w:val="single"/>
              </w:rPr>
              <w:t>’</w:t>
            </w:r>
            <w:r w:rsidRPr="00E94D44">
              <w:rPr>
                <w:u w:val="single"/>
              </w:rPr>
              <w:t>évaluation</w:t>
            </w:r>
          </w:p>
        </w:tc>
      </w:tr>
      <w:tr w:rsidR="002A0D44" w:rsidRPr="00E94D44" w14:paraId="577B0C15" w14:textId="77777777" w:rsidTr="00C84D5E">
        <w:trPr>
          <w:trHeight w:val="3415"/>
        </w:trPr>
        <w:tc>
          <w:tcPr>
            <w:tcW w:w="2520" w:type="dxa"/>
            <w:tcBorders>
              <w:right w:val="single" w:sz="6" w:space="0" w:color="000000"/>
            </w:tcBorders>
          </w:tcPr>
          <w:p w14:paraId="0648865C" w14:textId="00FDCD98" w:rsidR="002A0D44" w:rsidRPr="00E94D44" w:rsidRDefault="002A0D44" w:rsidP="00C84D5E">
            <w:pPr>
              <w:pStyle w:val="ONUMFS"/>
              <w:numPr>
                <w:ilvl w:val="0"/>
                <w:numId w:val="0"/>
              </w:numPr>
              <w:ind w:left="142"/>
              <w:rPr>
                <w:lang w:val="fr-FR"/>
              </w:rPr>
            </w:pPr>
            <w:r w:rsidRPr="00E94D44">
              <w:rPr>
                <w:lang w:val="fr-FR"/>
              </w:rPr>
              <w:t>Résultat n° 1</w:t>
            </w:r>
            <w:r w:rsidR="00124AD9" w:rsidRPr="00E94D44">
              <w:rPr>
                <w:lang w:val="fr-FR"/>
              </w:rPr>
              <w:t> :</w:t>
            </w:r>
            <w:r w:rsidRPr="00E94D44">
              <w:rPr>
                <w:lang w:val="fr-FR"/>
              </w:rPr>
              <w:t xml:space="preserve"> manuel portant sur les quatre</w:t>
            </w:r>
            <w:r w:rsidR="00E1082F" w:rsidRPr="00E94D44">
              <w:rPr>
                <w:lang w:val="fr-FR"/>
              </w:rPr>
              <w:t> </w:t>
            </w:r>
            <w:r w:rsidRPr="00E94D44">
              <w:rPr>
                <w:lang w:val="fr-FR"/>
              </w:rPr>
              <w:t>phases de mise au point de nouveaux produits ou services et résolution de la question de savoir si l</w:t>
            </w:r>
            <w:r w:rsidR="00124AD9" w:rsidRPr="00E94D44">
              <w:rPr>
                <w:lang w:val="fr-FR"/>
              </w:rPr>
              <w:t>’</w:t>
            </w:r>
            <w:r w:rsidRPr="00E94D44">
              <w:rPr>
                <w:lang w:val="fr-FR"/>
              </w:rPr>
              <w:t>invention est dans le domaine public</w:t>
            </w:r>
          </w:p>
          <w:p w14:paraId="27573098" w14:textId="77777777" w:rsidR="002A0D44" w:rsidRPr="00E94D44" w:rsidRDefault="002A0D44" w:rsidP="00C84D5E">
            <w:pPr>
              <w:pStyle w:val="ONUMFS"/>
              <w:numPr>
                <w:ilvl w:val="0"/>
                <w:numId w:val="0"/>
              </w:numPr>
              <w:ind w:left="142"/>
              <w:rPr>
                <w:bCs/>
                <w:lang w:val="fr-FR"/>
              </w:rPr>
            </w:pPr>
          </w:p>
        </w:tc>
        <w:tc>
          <w:tcPr>
            <w:tcW w:w="2695" w:type="dxa"/>
            <w:tcBorders>
              <w:left w:val="single" w:sz="6" w:space="0" w:color="000000"/>
              <w:bottom w:val="single" w:sz="6" w:space="0" w:color="000000"/>
            </w:tcBorders>
          </w:tcPr>
          <w:p w14:paraId="42EAA1A4" w14:textId="15EDFACD" w:rsidR="002A0D44" w:rsidRPr="00E94D44" w:rsidRDefault="002A0D44" w:rsidP="00C84D5E">
            <w:pPr>
              <w:pStyle w:val="ONUMFS"/>
              <w:numPr>
                <w:ilvl w:val="0"/>
                <w:numId w:val="0"/>
              </w:numPr>
              <w:ind w:left="32"/>
              <w:rPr>
                <w:bCs/>
                <w:lang w:val="fr-FR"/>
              </w:rPr>
            </w:pPr>
            <w:r w:rsidRPr="00E94D44">
              <w:rPr>
                <w:lang w:val="fr-FR"/>
              </w:rPr>
              <w:t>Manuel élaboré et publié</w:t>
            </w:r>
          </w:p>
          <w:p w14:paraId="3E47DCB5" w14:textId="77777777" w:rsidR="002A0D44" w:rsidRPr="00E94D44" w:rsidRDefault="002A0D44" w:rsidP="00C84D5E">
            <w:pPr>
              <w:pStyle w:val="ONUMFS"/>
              <w:numPr>
                <w:ilvl w:val="0"/>
                <w:numId w:val="0"/>
              </w:numPr>
              <w:ind w:left="32"/>
              <w:rPr>
                <w:bCs/>
                <w:lang w:val="fr-FR"/>
              </w:rPr>
            </w:pPr>
          </w:p>
        </w:tc>
        <w:tc>
          <w:tcPr>
            <w:tcW w:w="2865" w:type="dxa"/>
          </w:tcPr>
          <w:p w14:paraId="65EAD435" w14:textId="23C4E3A9" w:rsidR="002A0D44" w:rsidRPr="00E94D44" w:rsidRDefault="002A0D44" w:rsidP="00C84D5E">
            <w:pPr>
              <w:pStyle w:val="ONUMFS"/>
              <w:numPr>
                <w:ilvl w:val="0"/>
                <w:numId w:val="0"/>
              </w:numPr>
              <w:ind w:left="25"/>
              <w:rPr>
                <w:bCs/>
                <w:lang w:val="fr-FR"/>
              </w:rPr>
            </w:pPr>
            <w:r w:rsidRPr="00E94D44">
              <w:rPr>
                <w:lang w:val="fr-FR"/>
              </w:rPr>
              <w:t>Entièrement atteint</w:t>
            </w:r>
            <w:r w:rsidR="00124AD9" w:rsidRPr="00E94D44">
              <w:rPr>
                <w:lang w:val="fr-FR"/>
              </w:rPr>
              <w:t> :</w:t>
            </w:r>
            <w:r w:rsidRPr="00E94D44">
              <w:rPr>
                <w:lang w:val="fr-FR"/>
              </w:rPr>
              <w:t xml:space="preserve"> manuel élaboré.</w:t>
            </w:r>
          </w:p>
          <w:p w14:paraId="1B5C1296" w14:textId="411A4E50" w:rsidR="002A0D44" w:rsidRPr="00E94D44" w:rsidRDefault="002A0D44" w:rsidP="00C84D5E">
            <w:pPr>
              <w:pStyle w:val="ONUMFS"/>
              <w:numPr>
                <w:ilvl w:val="0"/>
                <w:numId w:val="0"/>
              </w:numPr>
              <w:ind w:left="25"/>
              <w:rPr>
                <w:lang w:val="fr-FR"/>
              </w:rPr>
            </w:pPr>
            <w:r w:rsidRPr="00E94D44">
              <w:rPr>
                <w:lang w:val="fr-FR"/>
              </w:rPr>
              <w:t>Les versions publiées dans l</w:t>
            </w:r>
            <w:r w:rsidR="00124AD9" w:rsidRPr="00E94D44">
              <w:rPr>
                <w:lang w:val="fr-FR"/>
              </w:rPr>
              <w:t>’</w:t>
            </w:r>
            <w:r w:rsidRPr="00E94D44">
              <w:rPr>
                <w:lang w:val="fr-FR"/>
              </w:rPr>
              <w:t>attente d</w:t>
            </w:r>
            <w:r w:rsidR="00124AD9" w:rsidRPr="00E94D44">
              <w:rPr>
                <w:lang w:val="fr-FR"/>
              </w:rPr>
              <w:t>’</w:t>
            </w:r>
            <w:r w:rsidRPr="00E94D44">
              <w:rPr>
                <w:lang w:val="fr-FR"/>
              </w:rPr>
              <w:t>une édition et d</w:t>
            </w:r>
            <w:r w:rsidR="00124AD9" w:rsidRPr="00E94D44">
              <w:rPr>
                <w:lang w:val="fr-FR"/>
              </w:rPr>
              <w:t>’</w:t>
            </w:r>
            <w:r w:rsidRPr="00E94D44">
              <w:rPr>
                <w:lang w:val="fr-FR"/>
              </w:rPr>
              <w:t xml:space="preserve">une conception professionnelles finales sont disponibles sur une </w:t>
            </w:r>
            <w:r w:rsidR="00124AD9" w:rsidRPr="00E94D44">
              <w:rPr>
                <w:lang w:val="fr-FR"/>
              </w:rPr>
              <w:t>page W</w:t>
            </w:r>
            <w:r w:rsidRPr="00E94D44">
              <w:rPr>
                <w:lang w:val="fr-FR"/>
              </w:rPr>
              <w:t>eb prévue à cet effet (</w:t>
            </w:r>
            <w:hyperlink r:id="rId16" w:history="1">
              <w:r w:rsidRPr="00E94D44">
                <w:rPr>
                  <w:rStyle w:val="Hyperlink"/>
                  <w:lang w:val="fr-FR"/>
                </w:rPr>
                <w:t>www.wipo.int/tisc/fr/inventions</w:t>
              </w:r>
              <w:r w:rsidR="00510B44" w:rsidRPr="00E94D44">
                <w:rPr>
                  <w:rStyle w:val="Hyperlink"/>
                  <w:lang w:val="fr-FR"/>
                </w:rPr>
                <w:noBreakHyphen/>
              </w:r>
              <w:r w:rsidRPr="00E94D44">
                <w:rPr>
                  <w:rStyle w:val="Hyperlink"/>
                  <w:lang w:val="fr-FR"/>
                </w:rPr>
                <w:t>public</w:t>
              </w:r>
              <w:r w:rsidR="00510B44" w:rsidRPr="00E94D44">
                <w:rPr>
                  <w:rStyle w:val="Hyperlink"/>
                  <w:lang w:val="fr-FR"/>
                </w:rPr>
                <w:noBreakHyphen/>
              </w:r>
              <w:r w:rsidRPr="00E94D44">
                <w:rPr>
                  <w:rStyle w:val="Hyperlink"/>
                  <w:lang w:val="fr-FR"/>
                </w:rPr>
                <w:t>domain.html</w:t>
              </w:r>
            </w:hyperlink>
            <w:r w:rsidRPr="00E94D44">
              <w:rPr>
                <w:lang w:val="fr-FR"/>
              </w:rPr>
              <w:t>) et le catalogue des projets et résultats du Plan d</w:t>
            </w:r>
            <w:r w:rsidR="00124AD9" w:rsidRPr="00E94D44">
              <w:rPr>
                <w:lang w:val="fr-FR"/>
              </w:rPr>
              <w:t>’</w:t>
            </w:r>
            <w:r w:rsidRPr="00E94D44">
              <w:rPr>
                <w:lang w:val="fr-FR"/>
              </w:rPr>
              <w:t>action pour le développement à l</w:t>
            </w:r>
            <w:r w:rsidR="00124AD9" w:rsidRPr="00E94D44">
              <w:rPr>
                <w:lang w:val="fr-FR"/>
              </w:rPr>
              <w:t>’</w:t>
            </w:r>
            <w:r w:rsidRPr="00E94D44">
              <w:rPr>
                <w:lang w:val="fr-FR"/>
              </w:rPr>
              <w:t>adresse suivante</w:t>
            </w:r>
            <w:r w:rsidR="00124AD9" w:rsidRPr="00E94D44">
              <w:rPr>
                <w:lang w:val="fr-FR"/>
              </w:rPr>
              <w:t> :</w:t>
            </w:r>
            <w:r w:rsidRPr="00E94D44">
              <w:rPr>
                <w:lang w:val="fr-FR"/>
              </w:rPr>
              <w:t xml:space="preserve"> </w:t>
            </w:r>
            <w:hyperlink r:id="rId17" w:history="1">
              <w:r w:rsidRPr="00E94D44">
                <w:rPr>
                  <w:rStyle w:val="Hyperlink"/>
                  <w:lang w:val="fr-FR"/>
                </w:rPr>
                <w:t>dacatalogue.wipo.int/</w:t>
              </w:r>
              <w:proofErr w:type="spellStart"/>
              <w:r w:rsidRPr="00E94D44">
                <w:rPr>
                  <w:rStyle w:val="Hyperlink"/>
                  <w:lang w:val="fr-FR"/>
                </w:rPr>
                <w:t>projects</w:t>
              </w:r>
              <w:proofErr w:type="spellEnd"/>
              <w:r w:rsidRPr="00E94D44">
                <w:rPr>
                  <w:rStyle w:val="Hyperlink"/>
                  <w:lang w:val="fr-FR"/>
                </w:rPr>
                <w:t>/DA_16_20_04</w:t>
              </w:r>
            </w:hyperlink>
            <w:r w:rsidRPr="00E94D44">
              <w:rPr>
                <w:lang w:val="fr-FR"/>
              </w:rPr>
              <w:t>.</w:t>
            </w:r>
          </w:p>
          <w:p w14:paraId="3641C89A" w14:textId="77777777" w:rsidR="002A0D44" w:rsidRPr="00E94D44" w:rsidRDefault="002A0D44" w:rsidP="00C84D5E">
            <w:pPr>
              <w:pStyle w:val="ONUMFS"/>
              <w:numPr>
                <w:ilvl w:val="0"/>
                <w:numId w:val="0"/>
              </w:numPr>
              <w:ind w:left="25"/>
              <w:rPr>
                <w:lang w:val="fr-FR"/>
              </w:rPr>
            </w:pPr>
          </w:p>
        </w:tc>
        <w:tc>
          <w:tcPr>
            <w:tcW w:w="1412" w:type="dxa"/>
            <w:vAlign w:val="center"/>
          </w:tcPr>
          <w:p w14:paraId="5AC52075" w14:textId="44370CC9" w:rsidR="002A0D44" w:rsidRPr="00E94D44" w:rsidRDefault="002A0D44" w:rsidP="005A5A9F">
            <w:pPr>
              <w:pStyle w:val="TableParagraph"/>
            </w:pPr>
            <w:r w:rsidRPr="00E94D44">
              <w:t>****</w:t>
            </w:r>
          </w:p>
        </w:tc>
      </w:tr>
      <w:tr w:rsidR="002A0D44" w:rsidRPr="00E94D44" w14:paraId="2AA1E83C" w14:textId="77777777" w:rsidTr="00C84D5E">
        <w:trPr>
          <w:trHeight w:val="1819"/>
        </w:trPr>
        <w:tc>
          <w:tcPr>
            <w:tcW w:w="2520" w:type="dxa"/>
            <w:tcBorders>
              <w:right w:val="single" w:sz="6" w:space="0" w:color="000000"/>
            </w:tcBorders>
          </w:tcPr>
          <w:p w14:paraId="1E5FFE83" w14:textId="535EA103" w:rsidR="002A0D44" w:rsidRPr="00E94D44" w:rsidRDefault="002A0D44" w:rsidP="00C84D5E">
            <w:pPr>
              <w:pStyle w:val="ONUMFS"/>
              <w:numPr>
                <w:ilvl w:val="0"/>
                <w:numId w:val="0"/>
              </w:numPr>
              <w:ind w:left="142"/>
              <w:rPr>
                <w:lang w:val="fr-FR"/>
              </w:rPr>
            </w:pPr>
            <w:r w:rsidRPr="00E94D44">
              <w:rPr>
                <w:lang w:val="fr-FR"/>
              </w:rPr>
              <w:t>Résultat n° 2</w:t>
            </w:r>
            <w:r w:rsidR="00124AD9" w:rsidRPr="00E94D44">
              <w:rPr>
                <w:lang w:val="fr-FR"/>
              </w:rPr>
              <w:t> :</w:t>
            </w:r>
            <w:r w:rsidRPr="00E94D44">
              <w:rPr>
                <w:lang w:val="fr-FR"/>
              </w:rPr>
              <w:t xml:space="preserve"> supports de formation à l</w:t>
            </w:r>
            <w:r w:rsidR="00124AD9" w:rsidRPr="00E94D44">
              <w:rPr>
                <w:lang w:val="fr-FR"/>
              </w:rPr>
              <w:t>’</w:t>
            </w:r>
            <w:r w:rsidRPr="00E94D44">
              <w:rPr>
                <w:lang w:val="fr-FR"/>
              </w:rPr>
              <w:t>intention</w:t>
            </w:r>
            <w:r w:rsidR="00124AD9" w:rsidRPr="00E94D44">
              <w:rPr>
                <w:lang w:val="fr-FR"/>
              </w:rPr>
              <w:t xml:space="preserve"> des CAT</w:t>
            </w:r>
            <w:r w:rsidRPr="00E94D44">
              <w:rPr>
                <w:lang w:val="fr-FR"/>
              </w:rPr>
              <w:t>I</w:t>
            </w:r>
          </w:p>
          <w:p w14:paraId="63B3BA4F" w14:textId="77777777" w:rsidR="002A0D44" w:rsidRPr="00E94D44" w:rsidRDefault="002A0D44" w:rsidP="00C84D5E">
            <w:pPr>
              <w:pStyle w:val="ONUMFS"/>
              <w:numPr>
                <w:ilvl w:val="0"/>
                <w:numId w:val="0"/>
              </w:numPr>
              <w:ind w:left="142"/>
              <w:rPr>
                <w:bCs/>
                <w:lang w:val="fr-FR"/>
              </w:rPr>
            </w:pPr>
          </w:p>
        </w:tc>
        <w:tc>
          <w:tcPr>
            <w:tcW w:w="2695" w:type="dxa"/>
            <w:tcBorders>
              <w:top w:val="single" w:sz="6" w:space="0" w:color="000000"/>
              <w:left w:val="single" w:sz="6" w:space="0" w:color="000000"/>
              <w:bottom w:val="single" w:sz="6" w:space="0" w:color="000000"/>
            </w:tcBorders>
          </w:tcPr>
          <w:p w14:paraId="17F89AEA" w14:textId="26066C0E" w:rsidR="002A0D44" w:rsidRPr="00E94D44" w:rsidRDefault="002A0D44" w:rsidP="00C84D5E">
            <w:pPr>
              <w:pStyle w:val="ONUMFS"/>
              <w:numPr>
                <w:ilvl w:val="0"/>
                <w:numId w:val="0"/>
              </w:numPr>
              <w:ind w:left="32"/>
              <w:rPr>
                <w:lang w:val="fr-FR"/>
              </w:rPr>
            </w:pPr>
            <w:r w:rsidRPr="00E94D44">
              <w:rPr>
                <w:lang w:val="fr-FR"/>
              </w:rPr>
              <w:t>Supports de formation à l</w:t>
            </w:r>
            <w:r w:rsidR="00124AD9" w:rsidRPr="00E94D44">
              <w:rPr>
                <w:lang w:val="fr-FR"/>
              </w:rPr>
              <w:t>’</w:t>
            </w:r>
            <w:r w:rsidRPr="00E94D44">
              <w:rPr>
                <w:lang w:val="fr-FR"/>
              </w:rPr>
              <w:t>intention</w:t>
            </w:r>
            <w:r w:rsidR="00124AD9" w:rsidRPr="00E94D44">
              <w:rPr>
                <w:lang w:val="fr-FR"/>
              </w:rPr>
              <w:t xml:space="preserve"> des CAT</w:t>
            </w:r>
            <w:r w:rsidRPr="00E94D44">
              <w:rPr>
                <w:lang w:val="fr-FR"/>
              </w:rPr>
              <w:t>I élaborés.</w:t>
            </w:r>
          </w:p>
          <w:p w14:paraId="375BC7F1" w14:textId="77777777" w:rsidR="002A0D44" w:rsidRPr="00E94D44" w:rsidRDefault="002A0D44" w:rsidP="00C84D5E">
            <w:pPr>
              <w:pStyle w:val="ONUMFS"/>
              <w:numPr>
                <w:ilvl w:val="0"/>
                <w:numId w:val="0"/>
              </w:numPr>
              <w:ind w:left="32"/>
              <w:rPr>
                <w:lang w:val="fr-FR"/>
              </w:rPr>
            </w:pPr>
          </w:p>
        </w:tc>
        <w:tc>
          <w:tcPr>
            <w:tcW w:w="2865" w:type="dxa"/>
          </w:tcPr>
          <w:p w14:paraId="4A31AB44" w14:textId="7053D487" w:rsidR="002A0D44" w:rsidRPr="00E94D44" w:rsidRDefault="002A0D44" w:rsidP="00C84D5E">
            <w:pPr>
              <w:pStyle w:val="ONUMFS"/>
              <w:numPr>
                <w:ilvl w:val="0"/>
                <w:numId w:val="0"/>
              </w:numPr>
              <w:ind w:left="25"/>
              <w:rPr>
                <w:bCs/>
                <w:lang w:val="fr-FR"/>
              </w:rPr>
            </w:pPr>
            <w:r w:rsidRPr="00E94D44">
              <w:rPr>
                <w:lang w:val="fr-FR"/>
              </w:rPr>
              <w:t>Entièrement atteint</w:t>
            </w:r>
            <w:r w:rsidR="00124AD9" w:rsidRPr="00E94D44">
              <w:rPr>
                <w:lang w:val="fr-FR"/>
              </w:rPr>
              <w:t> :</w:t>
            </w:r>
            <w:r w:rsidRPr="00E94D44">
              <w:rPr>
                <w:lang w:val="fr-FR"/>
              </w:rPr>
              <w:t xml:space="preserve"> supports de formation élaborés</w:t>
            </w:r>
          </w:p>
          <w:p w14:paraId="6E8432FB" w14:textId="77777777" w:rsidR="002A0D44" w:rsidRPr="00E94D44" w:rsidRDefault="002A0D44" w:rsidP="00C84D5E">
            <w:pPr>
              <w:pStyle w:val="ONUMFS"/>
              <w:numPr>
                <w:ilvl w:val="0"/>
                <w:numId w:val="0"/>
              </w:numPr>
              <w:ind w:left="25"/>
              <w:rPr>
                <w:lang w:val="fr-FR"/>
              </w:rPr>
            </w:pPr>
          </w:p>
        </w:tc>
        <w:tc>
          <w:tcPr>
            <w:tcW w:w="1412" w:type="dxa"/>
            <w:vAlign w:val="center"/>
          </w:tcPr>
          <w:p w14:paraId="60A4BADF" w14:textId="77777777" w:rsidR="002A0D44" w:rsidRPr="00E94D44" w:rsidRDefault="002A0D44" w:rsidP="005A5A9F">
            <w:pPr>
              <w:pStyle w:val="TableParagraph"/>
            </w:pPr>
            <w:r w:rsidRPr="00E94D44">
              <w:t>****</w:t>
            </w:r>
          </w:p>
        </w:tc>
      </w:tr>
      <w:tr w:rsidR="002A0D44" w:rsidRPr="00E94D44" w14:paraId="195EB31D" w14:textId="77777777" w:rsidTr="00C84D5E">
        <w:trPr>
          <w:trHeight w:val="1889"/>
        </w:trPr>
        <w:tc>
          <w:tcPr>
            <w:tcW w:w="2520" w:type="dxa"/>
            <w:tcBorders>
              <w:right w:val="single" w:sz="6" w:space="0" w:color="000000"/>
            </w:tcBorders>
          </w:tcPr>
          <w:p w14:paraId="20571CDE" w14:textId="5B0D3EDF" w:rsidR="002A0D44" w:rsidRPr="00E94D44" w:rsidRDefault="002A0D44" w:rsidP="00C84D5E">
            <w:pPr>
              <w:pStyle w:val="ONUMFS"/>
              <w:numPr>
                <w:ilvl w:val="0"/>
                <w:numId w:val="0"/>
              </w:numPr>
              <w:ind w:left="142"/>
              <w:rPr>
                <w:lang w:val="fr-FR"/>
              </w:rPr>
            </w:pPr>
            <w:r w:rsidRPr="00E94D44">
              <w:rPr>
                <w:lang w:val="fr-FR"/>
              </w:rPr>
              <w:t>Réalisation n° 3</w:t>
            </w:r>
            <w:r w:rsidR="00124AD9" w:rsidRPr="00E94D44">
              <w:rPr>
                <w:lang w:val="fr-FR"/>
              </w:rPr>
              <w:t> :</w:t>
            </w:r>
            <w:r w:rsidRPr="00E94D44">
              <w:rPr>
                <w:lang w:val="fr-FR"/>
              </w:rPr>
              <w:t xml:space="preserve"> séminaires de formation s</w:t>
            </w:r>
            <w:r w:rsidR="00124AD9" w:rsidRPr="00E94D44">
              <w:rPr>
                <w:lang w:val="fr-FR"/>
              </w:rPr>
              <w:t>’</w:t>
            </w:r>
            <w:r w:rsidRPr="00E94D44">
              <w:rPr>
                <w:lang w:val="fr-FR"/>
              </w:rPr>
              <w:t>appuyant sur les nouveaux supports de formation</w:t>
            </w:r>
          </w:p>
          <w:p w14:paraId="48B0B400" w14:textId="77777777" w:rsidR="002A0D44" w:rsidRPr="00E94D44" w:rsidRDefault="002A0D44" w:rsidP="00C84D5E">
            <w:pPr>
              <w:pStyle w:val="ONUMFS"/>
              <w:numPr>
                <w:ilvl w:val="0"/>
                <w:numId w:val="0"/>
              </w:numPr>
              <w:ind w:left="142"/>
              <w:rPr>
                <w:bCs/>
                <w:lang w:val="fr-FR"/>
              </w:rPr>
            </w:pPr>
          </w:p>
        </w:tc>
        <w:tc>
          <w:tcPr>
            <w:tcW w:w="2695" w:type="dxa"/>
            <w:tcBorders>
              <w:top w:val="single" w:sz="6" w:space="0" w:color="000000"/>
              <w:left w:val="single" w:sz="6" w:space="0" w:color="000000"/>
              <w:bottom w:val="single" w:sz="6" w:space="0" w:color="000000"/>
            </w:tcBorders>
          </w:tcPr>
          <w:p w14:paraId="4C7CA83F" w14:textId="77777777" w:rsidR="00124AD9" w:rsidRPr="00E94D44" w:rsidRDefault="002A0D44" w:rsidP="00C84D5E">
            <w:pPr>
              <w:pStyle w:val="ONUMFS"/>
              <w:numPr>
                <w:ilvl w:val="0"/>
                <w:numId w:val="0"/>
              </w:numPr>
              <w:ind w:left="32"/>
              <w:rPr>
                <w:lang w:val="fr-FR"/>
              </w:rPr>
            </w:pPr>
            <w:r w:rsidRPr="00E94D44">
              <w:rPr>
                <w:lang w:val="fr-FR"/>
              </w:rPr>
              <w:t>Deux séminaires réalisés.</w:t>
            </w:r>
          </w:p>
          <w:p w14:paraId="67D7A004" w14:textId="5E9366A0" w:rsidR="002A0D44" w:rsidRPr="00E94D44" w:rsidRDefault="002A0D44" w:rsidP="00C84D5E">
            <w:pPr>
              <w:pStyle w:val="ONUMFS"/>
              <w:numPr>
                <w:ilvl w:val="0"/>
                <w:numId w:val="0"/>
              </w:numPr>
              <w:ind w:left="32"/>
              <w:rPr>
                <w:lang w:val="fr-FR"/>
              </w:rPr>
            </w:pPr>
            <w:r w:rsidRPr="00E94D44">
              <w:rPr>
                <w:lang w:val="fr-FR"/>
              </w:rPr>
              <w:t>Pourcentage de participants indiquant que la formation a amélioré leurs connaissances et leurs compétences en ce qui concerne l</w:t>
            </w:r>
            <w:r w:rsidR="00124AD9" w:rsidRPr="00E94D44">
              <w:rPr>
                <w:lang w:val="fr-FR"/>
              </w:rPr>
              <w:t>’</w:t>
            </w:r>
            <w:r w:rsidRPr="00E94D44">
              <w:rPr>
                <w:lang w:val="fr-FR"/>
              </w:rPr>
              <w:t>utilisation des inventions relevant du domaine public (objectif</w:t>
            </w:r>
            <w:r w:rsidR="00124AD9" w:rsidRPr="00E94D44">
              <w:rPr>
                <w:lang w:val="fr-FR"/>
              </w:rPr>
              <w:t> :</w:t>
            </w:r>
            <w:r w:rsidRPr="00E94D44">
              <w:rPr>
                <w:lang w:val="fr-FR"/>
              </w:rPr>
              <w:t xml:space="preserve"> 70%).</w:t>
            </w:r>
          </w:p>
          <w:p w14:paraId="5622A726" w14:textId="77777777" w:rsidR="002A0D44" w:rsidRPr="00E94D44" w:rsidRDefault="002A0D44" w:rsidP="00C84D5E">
            <w:pPr>
              <w:pStyle w:val="ONUMFS"/>
              <w:numPr>
                <w:ilvl w:val="0"/>
                <w:numId w:val="0"/>
              </w:numPr>
              <w:ind w:left="32"/>
              <w:rPr>
                <w:lang w:val="fr-FR"/>
              </w:rPr>
            </w:pPr>
          </w:p>
        </w:tc>
        <w:tc>
          <w:tcPr>
            <w:tcW w:w="2865" w:type="dxa"/>
          </w:tcPr>
          <w:p w14:paraId="0946F010" w14:textId="57D4F299" w:rsidR="00124AD9" w:rsidRPr="00E94D44" w:rsidRDefault="002A0D44" w:rsidP="00C84D5E">
            <w:pPr>
              <w:pStyle w:val="ONUMFS"/>
              <w:numPr>
                <w:ilvl w:val="0"/>
                <w:numId w:val="0"/>
              </w:numPr>
              <w:ind w:left="25"/>
              <w:rPr>
                <w:lang w:val="fr-FR"/>
              </w:rPr>
            </w:pPr>
            <w:r w:rsidRPr="00E94D44">
              <w:rPr>
                <w:lang w:val="fr-FR"/>
              </w:rPr>
              <w:t>Entièrement atteint</w:t>
            </w:r>
            <w:r w:rsidR="00124AD9" w:rsidRPr="00E94D44">
              <w:rPr>
                <w:lang w:val="fr-FR"/>
              </w:rPr>
              <w:t> :</w:t>
            </w:r>
            <w:r w:rsidRPr="00E94D44">
              <w:rPr>
                <w:lang w:val="fr-FR"/>
              </w:rPr>
              <w:t xml:space="preserve"> séminaires en ligne organisés pour les réseaux de CATI de Malaisie et des Philippines.</w:t>
            </w:r>
          </w:p>
          <w:p w14:paraId="5CBCB9CC" w14:textId="0226268A" w:rsidR="002A0D44" w:rsidRPr="00E94D44" w:rsidRDefault="002A0D44" w:rsidP="00C84D5E">
            <w:pPr>
              <w:pStyle w:val="ONUMFS"/>
              <w:numPr>
                <w:ilvl w:val="0"/>
                <w:numId w:val="0"/>
              </w:numPr>
              <w:ind w:left="25"/>
              <w:rPr>
                <w:bCs/>
                <w:lang w:val="fr-FR"/>
              </w:rPr>
            </w:pPr>
            <w:r w:rsidRPr="00E94D44">
              <w:rPr>
                <w:lang w:val="fr-FR"/>
              </w:rPr>
              <w:t>Trente et un membres du personnel</w:t>
            </w:r>
            <w:r w:rsidR="00124AD9" w:rsidRPr="00E94D44">
              <w:rPr>
                <w:lang w:val="fr-FR"/>
              </w:rPr>
              <w:t xml:space="preserve"> des CAT</w:t>
            </w:r>
            <w:r w:rsidRPr="00E94D44">
              <w:rPr>
                <w:lang w:val="fr-FR"/>
              </w:rPr>
              <w:t>I (16 des Philippines et 15 de Malaisie) ont participé à la formation.  100% des personnes interrogées lors de l</w:t>
            </w:r>
            <w:r w:rsidR="00124AD9" w:rsidRPr="00E94D44">
              <w:rPr>
                <w:lang w:val="fr-FR"/>
              </w:rPr>
              <w:t>’</w:t>
            </w:r>
            <w:r w:rsidRPr="00E94D44">
              <w:rPr>
                <w:lang w:val="fr-FR"/>
              </w:rPr>
              <w:t>enquête finale ont indiqué que la formation leur avait largement ou un peu permis de renforcer leurs connaissances et leurs compétences dans ce domaine, et que les connaissances et les compétences acquises seraient très utiles (71% des personnes interrogées) ou assez utiles.</w:t>
            </w:r>
          </w:p>
        </w:tc>
        <w:tc>
          <w:tcPr>
            <w:tcW w:w="1412" w:type="dxa"/>
            <w:vAlign w:val="center"/>
          </w:tcPr>
          <w:p w14:paraId="4F30ACB6" w14:textId="77777777" w:rsidR="002A0D44" w:rsidRPr="00E94D44" w:rsidRDefault="002A0D44" w:rsidP="005A5A9F">
            <w:pPr>
              <w:pStyle w:val="TableParagraph"/>
            </w:pPr>
            <w:r w:rsidRPr="00E94D44">
              <w:t>****</w:t>
            </w:r>
          </w:p>
        </w:tc>
      </w:tr>
    </w:tbl>
    <w:p w14:paraId="35E1A5E1" w14:textId="11596629" w:rsidR="0035184F" w:rsidRPr="00E94D44" w:rsidRDefault="002A0D44" w:rsidP="002A0D44">
      <w:pPr>
        <w:pStyle w:val="Endofdocument-Annex"/>
        <w:spacing w:before="720"/>
        <w:ind w:left="5530"/>
        <w:rPr>
          <w:lang w:val="fr-FR"/>
        </w:rPr>
        <w:sectPr w:rsidR="0035184F" w:rsidRPr="00E94D44" w:rsidSect="002A0D44">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E94D44">
        <w:rPr>
          <w:lang w:val="fr-FR"/>
        </w:rPr>
        <w:t>[L</w:t>
      </w:r>
      <w:r w:rsidR="00124AD9" w:rsidRPr="00E94D44">
        <w:rPr>
          <w:lang w:val="fr-FR"/>
        </w:rPr>
        <w:t>’</w:t>
      </w:r>
      <w:r w:rsidRPr="00E94D44">
        <w:rPr>
          <w:lang w:val="fr-FR"/>
        </w:rPr>
        <w:t>annexe II suit]</w:t>
      </w:r>
    </w:p>
    <w:p w14:paraId="67380807" w14:textId="3722FE88" w:rsidR="002A0D44" w:rsidRPr="00E94D44" w:rsidRDefault="002A0D44" w:rsidP="002A0D44">
      <w:pPr>
        <w:pStyle w:val="Endofdocument-Annex"/>
        <w:spacing w:before="720"/>
        <w:ind w:left="5530"/>
        <w:rPr>
          <w:lang w:val="fr-FR"/>
        </w:rPr>
      </w:pPr>
    </w:p>
    <w:tbl>
      <w:tblPr>
        <w:tblW w:w="10055" w:type="dxa"/>
        <w:tblLook w:val="04A0" w:firstRow="1" w:lastRow="0" w:firstColumn="1" w:lastColumn="0" w:noHBand="0" w:noVBand="1"/>
      </w:tblPr>
      <w:tblGrid>
        <w:gridCol w:w="4942"/>
        <w:gridCol w:w="1890"/>
        <w:gridCol w:w="1323"/>
        <w:gridCol w:w="1900"/>
      </w:tblGrid>
      <w:tr w:rsidR="0035184F" w:rsidRPr="00E94D44" w14:paraId="196EEF27" w14:textId="77777777" w:rsidTr="005A5A9F">
        <w:trPr>
          <w:trHeight w:val="240"/>
        </w:trPr>
        <w:tc>
          <w:tcPr>
            <w:tcW w:w="4942" w:type="dxa"/>
            <w:tcBorders>
              <w:top w:val="nil"/>
              <w:left w:val="nil"/>
              <w:bottom w:val="nil"/>
              <w:right w:val="nil"/>
            </w:tcBorders>
            <w:shd w:val="clear" w:color="auto" w:fill="auto"/>
            <w:noWrap/>
            <w:vAlign w:val="bottom"/>
            <w:hideMark/>
          </w:tcPr>
          <w:p w14:paraId="0EAE472A" w14:textId="77777777" w:rsidR="0035184F" w:rsidRPr="00E94D44" w:rsidRDefault="0035184F" w:rsidP="005A5A9F">
            <w:pPr>
              <w:rPr>
                <w:rFonts w:ascii="Times New Roman" w:hAnsi="Times New Roman" w:cs="Times New Roman"/>
                <w:sz w:val="20"/>
                <w:lang w:val="fr-FR"/>
              </w:rPr>
            </w:pPr>
          </w:p>
        </w:tc>
        <w:tc>
          <w:tcPr>
            <w:tcW w:w="1890" w:type="dxa"/>
            <w:tcBorders>
              <w:top w:val="nil"/>
              <w:left w:val="nil"/>
              <w:bottom w:val="nil"/>
              <w:right w:val="nil"/>
            </w:tcBorders>
            <w:shd w:val="clear" w:color="auto" w:fill="auto"/>
            <w:noWrap/>
            <w:vAlign w:val="bottom"/>
            <w:hideMark/>
          </w:tcPr>
          <w:p w14:paraId="4EECBEF1" w14:textId="77777777" w:rsidR="0035184F" w:rsidRPr="00E94D44" w:rsidRDefault="0035184F" w:rsidP="005A5A9F">
            <w:pPr>
              <w:rPr>
                <w:rFonts w:ascii="Times New Roman" w:hAnsi="Times New Roman" w:cs="Times New Roman"/>
                <w:sz w:val="20"/>
                <w:lang w:val="fr-FR"/>
              </w:rPr>
            </w:pPr>
          </w:p>
        </w:tc>
        <w:tc>
          <w:tcPr>
            <w:tcW w:w="1323" w:type="dxa"/>
            <w:tcBorders>
              <w:top w:val="nil"/>
              <w:left w:val="nil"/>
              <w:bottom w:val="nil"/>
              <w:right w:val="nil"/>
            </w:tcBorders>
            <w:shd w:val="clear" w:color="auto" w:fill="auto"/>
            <w:noWrap/>
            <w:vAlign w:val="bottom"/>
            <w:hideMark/>
          </w:tcPr>
          <w:p w14:paraId="6B661597" w14:textId="77777777" w:rsidR="0035184F" w:rsidRPr="00E94D44" w:rsidRDefault="0035184F" w:rsidP="005A5A9F">
            <w:pPr>
              <w:rPr>
                <w:rFonts w:ascii="Times New Roman" w:hAnsi="Times New Roman" w:cs="Times New Roman"/>
                <w:sz w:val="20"/>
                <w:lang w:val="fr-FR"/>
              </w:rPr>
            </w:pPr>
          </w:p>
        </w:tc>
        <w:tc>
          <w:tcPr>
            <w:tcW w:w="1900" w:type="dxa"/>
            <w:tcBorders>
              <w:top w:val="nil"/>
              <w:left w:val="nil"/>
              <w:bottom w:val="nil"/>
              <w:right w:val="nil"/>
            </w:tcBorders>
            <w:shd w:val="clear" w:color="auto" w:fill="auto"/>
            <w:noWrap/>
            <w:vAlign w:val="bottom"/>
            <w:hideMark/>
          </w:tcPr>
          <w:p w14:paraId="46572D3A" w14:textId="77777777" w:rsidR="0035184F" w:rsidRPr="00E94D44" w:rsidRDefault="0035184F" w:rsidP="005A5A9F">
            <w:pPr>
              <w:rPr>
                <w:rFonts w:ascii="Times New Roman" w:hAnsi="Times New Roman" w:cs="Times New Roman"/>
                <w:sz w:val="20"/>
                <w:lang w:val="fr-FR"/>
              </w:rPr>
            </w:pPr>
          </w:p>
        </w:tc>
      </w:tr>
      <w:tr w:rsidR="0035184F" w:rsidRPr="00E94D44" w14:paraId="55AD43AD" w14:textId="77777777" w:rsidTr="005A5A9F">
        <w:trPr>
          <w:trHeight w:val="240"/>
        </w:trPr>
        <w:tc>
          <w:tcPr>
            <w:tcW w:w="4942" w:type="dxa"/>
            <w:tcBorders>
              <w:top w:val="nil"/>
              <w:left w:val="nil"/>
              <w:bottom w:val="nil"/>
              <w:right w:val="nil"/>
            </w:tcBorders>
            <w:shd w:val="clear" w:color="auto" w:fill="auto"/>
            <w:noWrap/>
            <w:vAlign w:val="bottom"/>
          </w:tcPr>
          <w:p w14:paraId="4FD95FEB" w14:textId="77777777" w:rsidR="0035184F" w:rsidRPr="00E94D44" w:rsidRDefault="0035184F" w:rsidP="005A5A9F">
            <w:pPr>
              <w:rPr>
                <w:rFonts w:ascii="Times New Roman" w:hAnsi="Times New Roman" w:cs="Times New Roman"/>
                <w:sz w:val="20"/>
                <w:lang w:val="fr-FR"/>
              </w:rPr>
            </w:pPr>
          </w:p>
        </w:tc>
        <w:tc>
          <w:tcPr>
            <w:tcW w:w="1890" w:type="dxa"/>
            <w:tcBorders>
              <w:top w:val="nil"/>
              <w:left w:val="nil"/>
              <w:bottom w:val="nil"/>
              <w:right w:val="nil"/>
            </w:tcBorders>
            <w:shd w:val="clear" w:color="auto" w:fill="auto"/>
            <w:noWrap/>
            <w:vAlign w:val="bottom"/>
          </w:tcPr>
          <w:p w14:paraId="61418F6A" w14:textId="77777777" w:rsidR="0035184F" w:rsidRPr="00E94D44" w:rsidRDefault="0035184F" w:rsidP="005A5A9F">
            <w:pPr>
              <w:rPr>
                <w:rFonts w:ascii="Times New Roman" w:hAnsi="Times New Roman" w:cs="Times New Roman"/>
                <w:sz w:val="20"/>
                <w:lang w:val="fr-FR"/>
              </w:rPr>
            </w:pPr>
          </w:p>
        </w:tc>
        <w:tc>
          <w:tcPr>
            <w:tcW w:w="1323" w:type="dxa"/>
            <w:tcBorders>
              <w:top w:val="nil"/>
              <w:left w:val="nil"/>
              <w:bottom w:val="nil"/>
              <w:right w:val="nil"/>
            </w:tcBorders>
            <w:shd w:val="clear" w:color="auto" w:fill="auto"/>
            <w:noWrap/>
            <w:vAlign w:val="bottom"/>
          </w:tcPr>
          <w:p w14:paraId="2B27B591" w14:textId="77777777" w:rsidR="0035184F" w:rsidRPr="00E94D44" w:rsidRDefault="0035184F" w:rsidP="005A5A9F">
            <w:pPr>
              <w:rPr>
                <w:rFonts w:ascii="Times New Roman" w:hAnsi="Times New Roman" w:cs="Times New Roman"/>
                <w:sz w:val="20"/>
                <w:lang w:val="fr-FR"/>
              </w:rPr>
            </w:pPr>
          </w:p>
        </w:tc>
        <w:tc>
          <w:tcPr>
            <w:tcW w:w="1900" w:type="dxa"/>
            <w:tcBorders>
              <w:top w:val="nil"/>
              <w:left w:val="nil"/>
              <w:bottom w:val="nil"/>
              <w:right w:val="nil"/>
            </w:tcBorders>
            <w:shd w:val="clear" w:color="auto" w:fill="auto"/>
            <w:noWrap/>
            <w:vAlign w:val="bottom"/>
          </w:tcPr>
          <w:p w14:paraId="2D6D5045" w14:textId="77777777" w:rsidR="0035184F" w:rsidRPr="00E94D44" w:rsidRDefault="0035184F" w:rsidP="005A5A9F">
            <w:pPr>
              <w:rPr>
                <w:rFonts w:ascii="Times New Roman" w:hAnsi="Times New Roman" w:cs="Times New Roman"/>
                <w:sz w:val="20"/>
                <w:lang w:val="fr-FR"/>
              </w:rPr>
            </w:pPr>
          </w:p>
        </w:tc>
      </w:tr>
      <w:tr w:rsidR="0035184F" w:rsidRPr="00E94D44" w14:paraId="368457C9" w14:textId="77777777" w:rsidTr="005A5A9F">
        <w:trPr>
          <w:trHeight w:val="677"/>
        </w:trPr>
        <w:tc>
          <w:tcPr>
            <w:tcW w:w="10055" w:type="dxa"/>
            <w:gridSpan w:val="4"/>
            <w:tcBorders>
              <w:top w:val="nil"/>
              <w:left w:val="nil"/>
              <w:bottom w:val="nil"/>
              <w:right w:val="nil"/>
            </w:tcBorders>
            <w:shd w:val="clear" w:color="auto" w:fill="auto"/>
            <w:vAlign w:val="center"/>
            <w:hideMark/>
          </w:tcPr>
          <w:p w14:paraId="730A312A" w14:textId="58BEB535" w:rsidR="0035184F" w:rsidRPr="00E94D44" w:rsidRDefault="0035184F" w:rsidP="005A5A9F">
            <w:pPr>
              <w:rPr>
                <w:rFonts w:ascii="Arial Narrow" w:hAnsi="Arial Narrow"/>
                <w:b/>
                <w:bCs/>
                <w:color w:val="002839"/>
                <w:sz w:val="28"/>
                <w:szCs w:val="28"/>
                <w:lang w:val="fr-FR"/>
              </w:rPr>
            </w:pPr>
            <w:r w:rsidRPr="00E94D44">
              <w:rPr>
                <w:rFonts w:ascii="Arial Narrow" w:hAnsi="Arial Narrow"/>
                <w:b/>
                <w:color w:val="002839"/>
                <w:sz w:val="28"/>
                <w:lang w:val="fr-FR"/>
              </w:rPr>
              <w:t>Projet du Plan d</w:t>
            </w:r>
            <w:r w:rsidR="00124AD9" w:rsidRPr="00E94D44">
              <w:rPr>
                <w:rFonts w:ascii="Arial Narrow" w:hAnsi="Arial Narrow"/>
                <w:b/>
                <w:color w:val="002839"/>
                <w:sz w:val="28"/>
                <w:lang w:val="fr-FR"/>
              </w:rPr>
              <w:t>’</w:t>
            </w:r>
            <w:r w:rsidRPr="00E94D44">
              <w:rPr>
                <w:rFonts w:ascii="Arial Narrow" w:hAnsi="Arial Narrow"/>
                <w:b/>
                <w:color w:val="002839"/>
                <w:sz w:val="28"/>
                <w:lang w:val="fr-FR"/>
              </w:rPr>
              <w:t>action pour le développement relatif au recensement et à l</w:t>
            </w:r>
            <w:r w:rsidR="00124AD9" w:rsidRPr="00E94D44">
              <w:rPr>
                <w:rFonts w:ascii="Arial Narrow" w:hAnsi="Arial Narrow"/>
                <w:b/>
                <w:color w:val="002839"/>
                <w:sz w:val="28"/>
                <w:lang w:val="fr-FR"/>
              </w:rPr>
              <w:t>’</w:t>
            </w:r>
            <w:r w:rsidRPr="00E94D44">
              <w:rPr>
                <w:rFonts w:ascii="Arial Narrow" w:hAnsi="Arial Narrow"/>
                <w:b/>
                <w:color w:val="002839"/>
                <w:sz w:val="28"/>
                <w:lang w:val="fr-FR"/>
              </w:rPr>
              <w:t>utilisation des inventions relevant du domaine public</w:t>
            </w:r>
          </w:p>
          <w:p w14:paraId="690D18FC" w14:textId="77777777" w:rsidR="0035184F" w:rsidRPr="00E94D44" w:rsidRDefault="0035184F" w:rsidP="005A5A9F">
            <w:pPr>
              <w:rPr>
                <w:rFonts w:ascii="Arial Narrow" w:hAnsi="Arial Narrow"/>
                <w:b/>
                <w:bCs/>
                <w:color w:val="002839"/>
                <w:sz w:val="28"/>
                <w:szCs w:val="28"/>
                <w:lang w:val="fr-FR"/>
              </w:rPr>
            </w:pPr>
          </w:p>
        </w:tc>
      </w:tr>
      <w:tr w:rsidR="0035184F" w:rsidRPr="00E94D44" w14:paraId="3DA612AA" w14:textId="77777777" w:rsidTr="005A5A9F">
        <w:trPr>
          <w:trHeight w:val="220"/>
        </w:trPr>
        <w:tc>
          <w:tcPr>
            <w:tcW w:w="4942" w:type="dxa"/>
            <w:tcBorders>
              <w:top w:val="nil"/>
              <w:left w:val="nil"/>
              <w:bottom w:val="single" w:sz="4" w:space="0" w:color="005172"/>
              <w:right w:val="nil"/>
            </w:tcBorders>
            <w:shd w:val="clear" w:color="auto" w:fill="auto"/>
            <w:noWrap/>
            <w:vAlign w:val="bottom"/>
            <w:hideMark/>
          </w:tcPr>
          <w:p w14:paraId="0E288480" w14:textId="77777777" w:rsidR="0035184F" w:rsidRPr="00E94D44" w:rsidRDefault="0035184F" w:rsidP="005A5A9F">
            <w:pPr>
              <w:rPr>
                <w:color w:val="000000"/>
                <w:sz w:val="20"/>
                <w:lang w:val="fr-FR"/>
              </w:rPr>
            </w:pPr>
            <w:r w:rsidRPr="00E94D44">
              <w:rPr>
                <w:color w:val="000000"/>
                <w:sz w:val="20"/>
                <w:lang w:val="fr-FR"/>
              </w:rPr>
              <w:t> </w:t>
            </w:r>
          </w:p>
        </w:tc>
        <w:tc>
          <w:tcPr>
            <w:tcW w:w="1890" w:type="dxa"/>
            <w:tcBorders>
              <w:top w:val="nil"/>
              <w:left w:val="nil"/>
              <w:bottom w:val="single" w:sz="4" w:space="0" w:color="005172"/>
              <w:right w:val="nil"/>
            </w:tcBorders>
            <w:shd w:val="clear" w:color="auto" w:fill="auto"/>
            <w:noWrap/>
            <w:vAlign w:val="bottom"/>
            <w:hideMark/>
          </w:tcPr>
          <w:p w14:paraId="436FEB1B" w14:textId="77777777" w:rsidR="0035184F" w:rsidRPr="00E94D44" w:rsidRDefault="0035184F" w:rsidP="005A5A9F">
            <w:pPr>
              <w:rPr>
                <w:color w:val="000000"/>
                <w:sz w:val="20"/>
                <w:lang w:val="fr-FR"/>
              </w:rPr>
            </w:pPr>
            <w:r w:rsidRPr="00E94D44">
              <w:rPr>
                <w:color w:val="000000"/>
                <w:sz w:val="20"/>
                <w:lang w:val="fr-FR"/>
              </w:rPr>
              <w:t> </w:t>
            </w:r>
          </w:p>
        </w:tc>
        <w:tc>
          <w:tcPr>
            <w:tcW w:w="1323" w:type="dxa"/>
            <w:tcBorders>
              <w:top w:val="nil"/>
              <w:left w:val="nil"/>
              <w:bottom w:val="single" w:sz="4" w:space="0" w:color="005172"/>
              <w:right w:val="nil"/>
            </w:tcBorders>
            <w:shd w:val="clear" w:color="auto" w:fill="auto"/>
            <w:noWrap/>
            <w:vAlign w:val="bottom"/>
            <w:hideMark/>
          </w:tcPr>
          <w:p w14:paraId="379B4506" w14:textId="77777777" w:rsidR="0035184F" w:rsidRPr="00E94D44" w:rsidRDefault="0035184F" w:rsidP="005A5A9F">
            <w:pPr>
              <w:rPr>
                <w:color w:val="000000"/>
                <w:sz w:val="20"/>
                <w:lang w:val="fr-FR"/>
              </w:rPr>
            </w:pPr>
            <w:r w:rsidRPr="00E94D44">
              <w:rPr>
                <w:color w:val="000000"/>
                <w:sz w:val="20"/>
                <w:lang w:val="fr-FR"/>
              </w:rPr>
              <w:t> </w:t>
            </w:r>
          </w:p>
        </w:tc>
        <w:tc>
          <w:tcPr>
            <w:tcW w:w="1900" w:type="dxa"/>
            <w:tcBorders>
              <w:top w:val="nil"/>
              <w:left w:val="nil"/>
              <w:bottom w:val="single" w:sz="4" w:space="0" w:color="005172"/>
              <w:right w:val="nil"/>
            </w:tcBorders>
            <w:shd w:val="clear" w:color="auto" w:fill="auto"/>
            <w:noWrap/>
            <w:vAlign w:val="bottom"/>
            <w:hideMark/>
          </w:tcPr>
          <w:p w14:paraId="5AB3C554" w14:textId="77777777" w:rsidR="0035184F" w:rsidRPr="00E94D44" w:rsidRDefault="0035184F" w:rsidP="005A5A9F">
            <w:pPr>
              <w:rPr>
                <w:color w:val="000000"/>
                <w:sz w:val="20"/>
                <w:lang w:val="fr-FR"/>
              </w:rPr>
            </w:pPr>
            <w:r w:rsidRPr="00E94D44">
              <w:rPr>
                <w:color w:val="000000"/>
                <w:sz w:val="20"/>
                <w:lang w:val="fr-FR"/>
              </w:rPr>
              <w:t> </w:t>
            </w:r>
          </w:p>
        </w:tc>
      </w:tr>
      <w:tr w:rsidR="0035184F" w:rsidRPr="00E94D44" w14:paraId="342A69A4" w14:textId="77777777" w:rsidTr="005A5A9F">
        <w:trPr>
          <w:trHeight w:val="273"/>
        </w:trPr>
        <w:tc>
          <w:tcPr>
            <w:tcW w:w="4942" w:type="dxa"/>
            <w:tcBorders>
              <w:top w:val="nil"/>
              <w:left w:val="nil"/>
              <w:bottom w:val="nil"/>
              <w:right w:val="nil"/>
            </w:tcBorders>
            <w:shd w:val="clear" w:color="auto" w:fill="auto"/>
            <w:noWrap/>
            <w:vAlign w:val="bottom"/>
            <w:hideMark/>
          </w:tcPr>
          <w:p w14:paraId="2726D3DC" w14:textId="77777777" w:rsidR="0035184F" w:rsidRPr="00E94D44" w:rsidRDefault="0035184F" w:rsidP="005A5A9F">
            <w:pPr>
              <w:rPr>
                <w:rFonts w:ascii="Times New Roman" w:hAnsi="Times New Roman" w:cs="Times New Roman"/>
                <w:sz w:val="20"/>
                <w:lang w:val="fr-FR"/>
              </w:rPr>
            </w:pPr>
          </w:p>
        </w:tc>
        <w:tc>
          <w:tcPr>
            <w:tcW w:w="1890" w:type="dxa"/>
            <w:tcBorders>
              <w:top w:val="nil"/>
              <w:left w:val="nil"/>
              <w:bottom w:val="nil"/>
              <w:right w:val="nil"/>
            </w:tcBorders>
            <w:shd w:val="clear" w:color="auto" w:fill="auto"/>
            <w:noWrap/>
            <w:vAlign w:val="bottom"/>
            <w:hideMark/>
          </w:tcPr>
          <w:p w14:paraId="179A5912" w14:textId="77777777" w:rsidR="0035184F" w:rsidRPr="00E94D44" w:rsidRDefault="0035184F" w:rsidP="005A5A9F">
            <w:pPr>
              <w:rPr>
                <w:rFonts w:ascii="Times New Roman" w:hAnsi="Times New Roman" w:cs="Times New Roman"/>
                <w:sz w:val="20"/>
                <w:lang w:val="fr-FR"/>
              </w:rPr>
            </w:pPr>
          </w:p>
        </w:tc>
        <w:tc>
          <w:tcPr>
            <w:tcW w:w="1323" w:type="dxa"/>
            <w:tcBorders>
              <w:top w:val="nil"/>
              <w:left w:val="nil"/>
              <w:bottom w:val="nil"/>
              <w:right w:val="nil"/>
            </w:tcBorders>
            <w:shd w:val="clear" w:color="auto" w:fill="auto"/>
            <w:noWrap/>
            <w:vAlign w:val="bottom"/>
            <w:hideMark/>
          </w:tcPr>
          <w:p w14:paraId="1757B938" w14:textId="77777777" w:rsidR="0035184F" w:rsidRPr="00E94D44" w:rsidRDefault="0035184F" w:rsidP="005A5A9F">
            <w:pPr>
              <w:rPr>
                <w:rFonts w:ascii="Times New Roman" w:hAnsi="Times New Roman" w:cs="Times New Roman"/>
                <w:sz w:val="20"/>
                <w:lang w:val="fr-FR"/>
              </w:rPr>
            </w:pPr>
          </w:p>
        </w:tc>
        <w:tc>
          <w:tcPr>
            <w:tcW w:w="1900" w:type="dxa"/>
            <w:tcBorders>
              <w:top w:val="nil"/>
              <w:left w:val="nil"/>
              <w:bottom w:val="nil"/>
              <w:right w:val="nil"/>
            </w:tcBorders>
            <w:shd w:val="clear" w:color="auto" w:fill="auto"/>
            <w:noWrap/>
            <w:vAlign w:val="bottom"/>
            <w:hideMark/>
          </w:tcPr>
          <w:p w14:paraId="1B695D3B" w14:textId="77777777" w:rsidR="0035184F" w:rsidRPr="00E94D44" w:rsidRDefault="0035184F" w:rsidP="005A5A9F">
            <w:pPr>
              <w:rPr>
                <w:rFonts w:ascii="Times New Roman" w:hAnsi="Times New Roman" w:cs="Times New Roman"/>
                <w:sz w:val="20"/>
                <w:lang w:val="fr-FR"/>
              </w:rPr>
            </w:pPr>
          </w:p>
        </w:tc>
      </w:tr>
      <w:tr w:rsidR="0035184F" w:rsidRPr="00E94D44" w14:paraId="1E9E681C" w14:textId="77777777" w:rsidTr="005A5A9F">
        <w:trPr>
          <w:trHeight w:val="331"/>
        </w:trPr>
        <w:tc>
          <w:tcPr>
            <w:tcW w:w="10055" w:type="dxa"/>
            <w:gridSpan w:val="4"/>
            <w:tcBorders>
              <w:top w:val="nil"/>
              <w:left w:val="nil"/>
              <w:bottom w:val="nil"/>
              <w:right w:val="nil"/>
            </w:tcBorders>
            <w:shd w:val="clear" w:color="auto" w:fill="auto"/>
            <w:noWrap/>
            <w:vAlign w:val="bottom"/>
            <w:hideMark/>
          </w:tcPr>
          <w:p w14:paraId="5A237DD0" w14:textId="32CBBEEB" w:rsidR="0035184F" w:rsidRPr="00E94D44" w:rsidRDefault="0035184F" w:rsidP="005A5A9F">
            <w:pPr>
              <w:jc w:val="center"/>
              <w:rPr>
                <w:rFonts w:ascii="Arial Narrow" w:hAnsi="Arial Narrow"/>
                <w:b/>
                <w:bCs/>
                <w:color w:val="002839"/>
                <w:sz w:val="24"/>
                <w:szCs w:val="24"/>
                <w:lang w:val="fr-FR"/>
              </w:rPr>
            </w:pPr>
            <w:r w:rsidRPr="00E94D44">
              <w:rPr>
                <w:rFonts w:ascii="Arial Narrow" w:hAnsi="Arial Narrow"/>
                <w:b/>
                <w:color w:val="002839"/>
                <w:sz w:val="24"/>
                <w:lang w:val="fr-FR"/>
              </w:rPr>
              <w:t xml:space="preserve">Utilisation des ressources à la fin du mois de </w:t>
            </w:r>
            <w:r w:rsidR="00124AD9" w:rsidRPr="00E94D44">
              <w:rPr>
                <w:rFonts w:ascii="Arial Narrow" w:hAnsi="Arial Narrow"/>
                <w:b/>
                <w:color w:val="002839"/>
                <w:sz w:val="24"/>
                <w:lang w:val="fr-FR"/>
              </w:rPr>
              <w:t>juillet 20</w:t>
            </w:r>
            <w:r w:rsidRPr="00E94D44">
              <w:rPr>
                <w:rFonts w:ascii="Arial Narrow" w:hAnsi="Arial Narrow"/>
                <w:b/>
                <w:color w:val="002839"/>
                <w:sz w:val="24"/>
                <w:lang w:val="fr-FR"/>
              </w:rPr>
              <w:t>23</w:t>
            </w:r>
          </w:p>
        </w:tc>
      </w:tr>
      <w:tr w:rsidR="0035184F" w:rsidRPr="00E94D44" w14:paraId="0A7987EF" w14:textId="77777777" w:rsidTr="005A5A9F">
        <w:trPr>
          <w:trHeight w:val="331"/>
        </w:trPr>
        <w:tc>
          <w:tcPr>
            <w:tcW w:w="10055" w:type="dxa"/>
            <w:gridSpan w:val="4"/>
            <w:tcBorders>
              <w:top w:val="nil"/>
              <w:left w:val="nil"/>
              <w:bottom w:val="nil"/>
              <w:right w:val="nil"/>
            </w:tcBorders>
            <w:shd w:val="clear" w:color="auto" w:fill="auto"/>
            <w:noWrap/>
            <w:vAlign w:val="bottom"/>
            <w:hideMark/>
          </w:tcPr>
          <w:p w14:paraId="3E0CC1F4" w14:textId="77777777" w:rsidR="0035184F" w:rsidRPr="00E94D44" w:rsidRDefault="0035184F" w:rsidP="005A5A9F">
            <w:pPr>
              <w:jc w:val="center"/>
              <w:rPr>
                <w:rFonts w:ascii="Arial Narrow" w:hAnsi="Arial Narrow"/>
                <w:i/>
                <w:iCs/>
                <w:color w:val="002839"/>
                <w:sz w:val="20"/>
                <w:lang w:val="fr-FR"/>
              </w:rPr>
            </w:pPr>
            <w:r w:rsidRPr="00E94D44">
              <w:rPr>
                <w:rFonts w:ascii="Arial Narrow" w:hAnsi="Arial Narrow"/>
                <w:i/>
                <w:color w:val="002839"/>
                <w:sz w:val="20"/>
                <w:lang w:val="fr-FR"/>
              </w:rPr>
              <w:t>(</w:t>
            </w:r>
            <w:proofErr w:type="gramStart"/>
            <w:r w:rsidRPr="00E94D44">
              <w:rPr>
                <w:rFonts w:ascii="Arial Narrow" w:hAnsi="Arial Narrow"/>
                <w:i/>
                <w:color w:val="002839"/>
                <w:sz w:val="20"/>
                <w:lang w:val="fr-FR"/>
              </w:rPr>
              <w:t>en</w:t>
            </w:r>
            <w:proofErr w:type="gramEnd"/>
            <w:r w:rsidRPr="00E94D44">
              <w:rPr>
                <w:rFonts w:ascii="Arial Narrow" w:hAnsi="Arial Narrow"/>
                <w:i/>
                <w:color w:val="002839"/>
                <w:sz w:val="20"/>
                <w:lang w:val="fr-FR"/>
              </w:rPr>
              <w:t xml:space="preserve"> francs suisses)</w:t>
            </w:r>
          </w:p>
        </w:tc>
      </w:tr>
      <w:tr w:rsidR="0035184F" w:rsidRPr="00E94D44" w14:paraId="40A2B15B" w14:textId="77777777" w:rsidTr="005A5A9F">
        <w:trPr>
          <w:trHeight w:val="345"/>
        </w:trPr>
        <w:tc>
          <w:tcPr>
            <w:tcW w:w="4942" w:type="dxa"/>
            <w:tcBorders>
              <w:top w:val="nil"/>
              <w:left w:val="nil"/>
              <w:bottom w:val="nil"/>
              <w:right w:val="nil"/>
            </w:tcBorders>
            <w:shd w:val="clear" w:color="auto" w:fill="auto"/>
            <w:noWrap/>
            <w:vAlign w:val="bottom"/>
            <w:hideMark/>
          </w:tcPr>
          <w:p w14:paraId="73608A94" w14:textId="77777777" w:rsidR="0035184F" w:rsidRPr="00E94D44" w:rsidRDefault="0035184F" w:rsidP="005A5A9F">
            <w:pPr>
              <w:rPr>
                <w:rFonts w:ascii="Times New Roman" w:hAnsi="Times New Roman" w:cs="Times New Roman"/>
                <w:sz w:val="20"/>
                <w:lang w:val="fr-FR"/>
              </w:rPr>
            </w:pPr>
          </w:p>
        </w:tc>
        <w:tc>
          <w:tcPr>
            <w:tcW w:w="1890" w:type="dxa"/>
            <w:tcBorders>
              <w:top w:val="nil"/>
              <w:left w:val="nil"/>
              <w:bottom w:val="nil"/>
              <w:right w:val="nil"/>
            </w:tcBorders>
            <w:shd w:val="clear" w:color="auto" w:fill="auto"/>
            <w:noWrap/>
            <w:vAlign w:val="bottom"/>
            <w:hideMark/>
          </w:tcPr>
          <w:p w14:paraId="59B136CA" w14:textId="77777777" w:rsidR="0035184F" w:rsidRPr="00E94D44" w:rsidRDefault="0035184F" w:rsidP="005A5A9F">
            <w:pPr>
              <w:rPr>
                <w:rFonts w:ascii="Times New Roman" w:hAnsi="Times New Roman" w:cs="Times New Roman"/>
                <w:sz w:val="20"/>
                <w:lang w:val="fr-FR"/>
              </w:rPr>
            </w:pPr>
          </w:p>
        </w:tc>
        <w:tc>
          <w:tcPr>
            <w:tcW w:w="1323" w:type="dxa"/>
            <w:tcBorders>
              <w:top w:val="nil"/>
              <w:left w:val="nil"/>
              <w:bottom w:val="nil"/>
              <w:right w:val="nil"/>
            </w:tcBorders>
            <w:shd w:val="clear" w:color="auto" w:fill="auto"/>
            <w:noWrap/>
            <w:vAlign w:val="bottom"/>
            <w:hideMark/>
          </w:tcPr>
          <w:p w14:paraId="7E8FDA4A" w14:textId="77777777" w:rsidR="0035184F" w:rsidRPr="00E94D44" w:rsidRDefault="0035184F" w:rsidP="005A5A9F">
            <w:pPr>
              <w:rPr>
                <w:rFonts w:ascii="Times New Roman" w:hAnsi="Times New Roman" w:cs="Times New Roman"/>
                <w:sz w:val="20"/>
                <w:lang w:val="fr-FR"/>
              </w:rPr>
            </w:pPr>
          </w:p>
        </w:tc>
        <w:tc>
          <w:tcPr>
            <w:tcW w:w="1900" w:type="dxa"/>
            <w:tcBorders>
              <w:top w:val="nil"/>
              <w:left w:val="nil"/>
              <w:bottom w:val="nil"/>
              <w:right w:val="nil"/>
            </w:tcBorders>
            <w:shd w:val="clear" w:color="auto" w:fill="auto"/>
            <w:noWrap/>
            <w:vAlign w:val="bottom"/>
            <w:hideMark/>
          </w:tcPr>
          <w:p w14:paraId="6FB65333" w14:textId="77777777" w:rsidR="0035184F" w:rsidRPr="00E94D44" w:rsidRDefault="0035184F" w:rsidP="005A5A9F">
            <w:pPr>
              <w:rPr>
                <w:rFonts w:ascii="Times New Roman" w:hAnsi="Times New Roman" w:cs="Times New Roman"/>
                <w:sz w:val="20"/>
                <w:lang w:val="fr-FR"/>
              </w:rPr>
            </w:pPr>
          </w:p>
        </w:tc>
      </w:tr>
      <w:tr w:rsidR="0035184F" w:rsidRPr="00E94D44" w14:paraId="2FCEBD6E" w14:textId="77777777" w:rsidTr="005A5A9F">
        <w:trPr>
          <w:trHeight w:val="619"/>
        </w:trPr>
        <w:tc>
          <w:tcPr>
            <w:tcW w:w="4942" w:type="dxa"/>
            <w:tcBorders>
              <w:top w:val="nil"/>
              <w:left w:val="nil"/>
              <w:bottom w:val="nil"/>
              <w:right w:val="nil"/>
            </w:tcBorders>
            <w:shd w:val="clear" w:color="000000" w:fill="C7CFD8"/>
            <w:noWrap/>
            <w:vAlign w:val="center"/>
            <w:hideMark/>
          </w:tcPr>
          <w:p w14:paraId="3C7AC434" w14:textId="77777777" w:rsidR="0035184F" w:rsidRPr="00E94D44" w:rsidRDefault="0035184F" w:rsidP="005A5A9F">
            <w:pPr>
              <w:rPr>
                <w:rFonts w:ascii="Arial Narrow" w:hAnsi="Arial Narrow"/>
                <w:b/>
                <w:bCs/>
                <w:color w:val="002839"/>
                <w:lang w:val="fr-FR"/>
              </w:rPr>
            </w:pPr>
            <w:r w:rsidRPr="00E94D44">
              <w:rPr>
                <w:rFonts w:ascii="Arial Narrow" w:hAnsi="Arial Narrow"/>
                <w:b/>
                <w:color w:val="002839"/>
                <w:lang w:val="fr-FR"/>
              </w:rPr>
              <w:t xml:space="preserve">Catégorie de coûts </w:t>
            </w:r>
          </w:p>
        </w:tc>
        <w:tc>
          <w:tcPr>
            <w:tcW w:w="1890" w:type="dxa"/>
            <w:tcBorders>
              <w:top w:val="nil"/>
              <w:left w:val="nil"/>
              <w:bottom w:val="nil"/>
              <w:right w:val="nil"/>
            </w:tcBorders>
            <w:shd w:val="clear" w:color="000000" w:fill="C7CFD8"/>
            <w:vAlign w:val="center"/>
            <w:hideMark/>
          </w:tcPr>
          <w:p w14:paraId="4CC5D80E" w14:textId="77777777" w:rsidR="0035184F" w:rsidRPr="00E94D44" w:rsidRDefault="0035184F" w:rsidP="005A5A9F">
            <w:pPr>
              <w:rPr>
                <w:rFonts w:ascii="Arial Narrow" w:hAnsi="Arial Narrow"/>
                <w:b/>
                <w:bCs/>
                <w:color w:val="002839"/>
                <w:lang w:val="fr-FR"/>
              </w:rPr>
            </w:pPr>
            <w:r w:rsidRPr="00E94D44">
              <w:rPr>
                <w:rFonts w:ascii="Arial Narrow" w:hAnsi="Arial Narrow"/>
                <w:b/>
                <w:color w:val="002839"/>
                <w:lang w:val="fr-FR"/>
              </w:rPr>
              <w:t>Budget du projet</w:t>
            </w:r>
          </w:p>
        </w:tc>
        <w:tc>
          <w:tcPr>
            <w:tcW w:w="1323" w:type="dxa"/>
            <w:tcBorders>
              <w:top w:val="nil"/>
              <w:left w:val="nil"/>
              <w:bottom w:val="nil"/>
              <w:right w:val="nil"/>
            </w:tcBorders>
            <w:shd w:val="clear" w:color="000000" w:fill="C7CFD8"/>
            <w:vAlign w:val="center"/>
            <w:hideMark/>
          </w:tcPr>
          <w:p w14:paraId="5CFE70C5" w14:textId="77777777" w:rsidR="0035184F" w:rsidRPr="00E94D44" w:rsidRDefault="0035184F" w:rsidP="005A5A9F">
            <w:pPr>
              <w:rPr>
                <w:rFonts w:ascii="Arial Narrow" w:hAnsi="Arial Narrow"/>
                <w:b/>
                <w:bCs/>
                <w:color w:val="002839"/>
                <w:lang w:val="fr-FR"/>
              </w:rPr>
            </w:pPr>
            <w:r w:rsidRPr="00E94D44">
              <w:rPr>
                <w:rFonts w:ascii="Arial Narrow" w:hAnsi="Arial Narrow"/>
                <w:b/>
                <w:color w:val="002839"/>
                <w:lang w:val="fr-FR"/>
              </w:rPr>
              <w:t>Dépenses</w:t>
            </w:r>
          </w:p>
        </w:tc>
        <w:tc>
          <w:tcPr>
            <w:tcW w:w="1900" w:type="dxa"/>
            <w:tcBorders>
              <w:top w:val="nil"/>
              <w:left w:val="nil"/>
              <w:bottom w:val="nil"/>
              <w:right w:val="nil"/>
            </w:tcBorders>
            <w:shd w:val="clear" w:color="000000" w:fill="C7CFD8"/>
            <w:vAlign w:val="center"/>
            <w:hideMark/>
          </w:tcPr>
          <w:p w14:paraId="28390DAF" w14:textId="0CA12A71" w:rsidR="0035184F" w:rsidRPr="00E94D44" w:rsidRDefault="0035184F" w:rsidP="005A5A9F">
            <w:pPr>
              <w:rPr>
                <w:rFonts w:ascii="Arial Narrow" w:hAnsi="Arial Narrow"/>
                <w:b/>
                <w:bCs/>
                <w:color w:val="002839"/>
                <w:lang w:val="fr-FR"/>
              </w:rPr>
            </w:pPr>
            <w:r w:rsidRPr="00E94D44">
              <w:rPr>
                <w:rFonts w:ascii="Arial Narrow" w:hAnsi="Arial Narrow"/>
                <w:b/>
                <w:color w:val="002839"/>
                <w:lang w:val="fr-FR"/>
              </w:rPr>
              <w:t xml:space="preserve"> Utilisation du budget</w:t>
            </w:r>
          </w:p>
        </w:tc>
      </w:tr>
      <w:tr w:rsidR="0035184F" w:rsidRPr="00E94D44" w14:paraId="4814C5D9" w14:textId="77777777" w:rsidTr="005A5A9F">
        <w:trPr>
          <w:trHeight w:val="547"/>
        </w:trPr>
        <w:tc>
          <w:tcPr>
            <w:tcW w:w="4942" w:type="dxa"/>
            <w:tcBorders>
              <w:top w:val="nil"/>
              <w:left w:val="nil"/>
              <w:bottom w:val="nil"/>
              <w:right w:val="nil"/>
            </w:tcBorders>
            <w:shd w:val="clear" w:color="auto" w:fill="auto"/>
            <w:vAlign w:val="center"/>
            <w:hideMark/>
          </w:tcPr>
          <w:p w14:paraId="2945EA0C" w14:textId="77777777" w:rsidR="0035184F" w:rsidRPr="00E94D44" w:rsidRDefault="0035184F" w:rsidP="005A5A9F">
            <w:pPr>
              <w:rPr>
                <w:rFonts w:ascii="Arial Narrow" w:hAnsi="Arial Narrow"/>
                <w:color w:val="002839"/>
                <w:lang w:val="fr-FR"/>
              </w:rPr>
            </w:pPr>
            <w:r w:rsidRPr="00E94D44">
              <w:rPr>
                <w:rFonts w:ascii="Arial Narrow" w:hAnsi="Arial Narrow"/>
                <w:color w:val="002839"/>
                <w:lang w:val="fr-FR"/>
              </w:rPr>
              <w:t>Ressources en personnel</w:t>
            </w:r>
          </w:p>
        </w:tc>
        <w:tc>
          <w:tcPr>
            <w:tcW w:w="1890" w:type="dxa"/>
            <w:tcBorders>
              <w:top w:val="nil"/>
              <w:left w:val="nil"/>
              <w:bottom w:val="nil"/>
              <w:right w:val="nil"/>
            </w:tcBorders>
            <w:shd w:val="clear" w:color="auto" w:fill="auto"/>
            <w:noWrap/>
            <w:vAlign w:val="center"/>
            <w:hideMark/>
          </w:tcPr>
          <w:p w14:paraId="7A3093F7" w14:textId="6ACDF866" w:rsidR="0035184F" w:rsidRPr="00E94D44" w:rsidRDefault="00C84D5E" w:rsidP="005A5A9F">
            <w:pPr>
              <w:rPr>
                <w:rFonts w:ascii="Arial Narrow" w:hAnsi="Arial Narrow"/>
                <w:color w:val="002839"/>
                <w:lang w:val="fr-FR"/>
              </w:rPr>
            </w:pPr>
            <w:r w:rsidRPr="00E94D44">
              <w:rPr>
                <w:rFonts w:ascii="Arial Narrow" w:hAnsi="Arial Narrow"/>
                <w:color w:val="000000"/>
                <w:lang w:val="fr-FR"/>
              </w:rPr>
              <w:t xml:space="preserve">                    </w:t>
            </w:r>
            <w:r w:rsidR="00510B44" w:rsidRPr="00E94D44">
              <w:rPr>
                <w:rFonts w:ascii="Arial Narrow" w:hAnsi="Arial Narrow"/>
                <w:color w:val="000000"/>
                <w:lang w:val="fr-FR"/>
              </w:rPr>
              <w:noBreakHyphen/>
            </w:r>
          </w:p>
        </w:tc>
        <w:tc>
          <w:tcPr>
            <w:tcW w:w="1323" w:type="dxa"/>
            <w:tcBorders>
              <w:top w:val="nil"/>
              <w:left w:val="nil"/>
              <w:bottom w:val="nil"/>
              <w:right w:val="nil"/>
            </w:tcBorders>
            <w:shd w:val="clear" w:color="auto" w:fill="auto"/>
            <w:vAlign w:val="center"/>
            <w:hideMark/>
          </w:tcPr>
          <w:p w14:paraId="34A9611E" w14:textId="16122BA1" w:rsidR="0035184F" w:rsidRPr="00E94D44" w:rsidRDefault="00C84D5E" w:rsidP="005A5A9F">
            <w:pPr>
              <w:rPr>
                <w:rFonts w:ascii="Arial Narrow" w:hAnsi="Arial Narrow"/>
                <w:color w:val="000000"/>
                <w:lang w:val="fr-FR"/>
              </w:rPr>
            </w:pPr>
            <w:r w:rsidRPr="00E94D44">
              <w:rPr>
                <w:rFonts w:ascii="Arial Narrow" w:hAnsi="Arial Narrow"/>
                <w:color w:val="000000"/>
                <w:lang w:val="fr-FR"/>
              </w:rPr>
              <w:t xml:space="preserve">                    </w:t>
            </w:r>
            <w:r w:rsidR="00510B44" w:rsidRPr="00E94D44">
              <w:rPr>
                <w:rFonts w:ascii="Arial Narrow" w:hAnsi="Arial Narrow"/>
                <w:color w:val="000000"/>
                <w:lang w:val="fr-FR"/>
              </w:rPr>
              <w:noBreakHyphen/>
            </w:r>
            <w:r w:rsidRPr="00E94D44">
              <w:rPr>
                <w:rFonts w:ascii="Arial Narrow" w:hAnsi="Arial Narrow"/>
                <w:color w:val="000000"/>
                <w:lang w:val="fr-FR"/>
              </w:rPr>
              <w:t xml:space="preserve">   </w:t>
            </w:r>
          </w:p>
        </w:tc>
        <w:tc>
          <w:tcPr>
            <w:tcW w:w="1900" w:type="dxa"/>
            <w:tcBorders>
              <w:top w:val="nil"/>
              <w:left w:val="nil"/>
              <w:bottom w:val="nil"/>
              <w:right w:val="nil"/>
            </w:tcBorders>
            <w:shd w:val="clear" w:color="auto" w:fill="auto"/>
            <w:vAlign w:val="center"/>
            <w:hideMark/>
          </w:tcPr>
          <w:p w14:paraId="60FF9570" w14:textId="2FF987FB" w:rsidR="0035184F" w:rsidRPr="00E94D44" w:rsidRDefault="0035184F" w:rsidP="005A5A9F">
            <w:pPr>
              <w:jc w:val="right"/>
              <w:rPr>
                <w:rFonts w:ascii="Arial Narrow" w:hAnsi="Arial Narrow"/>
                <w:color w:val="000000"/>
                <w:lang w:val="fr-FR"/>
              </w:rPr>
            </w:pPr>
            <w:r w:rsidRPr="00E94D44">
              <w:rPr>
                <w:rFonts w:ascii="Arial Narrow" w:hAnsi="Arial Narrow"/>
                <w:color w:val="000000"/>
                <w:lang w:val="fr-FR"/>
              </w:rPr>
              <w:t>0%</w:t>
            </w:r>
          </w:p>
        </w:tc>
      </w:tr>
      <w:tr w:rsidR="0035184F" w:rsidRPr="00E94D44" w14:paraId="255E154B" w14:textId="77777777" w:rsidTr="005A5A9F">
        <w:trPr>
          <w:trHeight w:val="475"/>
        </w:trPr>
        <w:tc>
          <w:tcPr>
            <w:tcW w:w="4942" w:type="dxa"/>
            <w:tcBorders>
              <w:top w:val="nil"/>
              <w:left w:val="nil"/>
              <w:bottom w:val="nil"/>
              <w:right w:val="nil"/>
            </w:tcBorders>
            <w:shd w:val="clear" w:color="auto" w:fill="auto"/>
            <w:vAlign w:val="center"/>
            <w:hideMark/>
          </w:tcPr>
          <w:p w14:paraId="5FF6FFB4" w14:textId="77777777" w:rsidR="0035184F" w:rsidRPr="00E94D44" w:rsidRDefault="0035184F" w:rsidP="005A5A9F">
            <w:pPr>
              <w:rPr>
                <w:rFonts w:ascii="Arial Narrow" w:hAnsi="Arial Narrow"/>
                <w:color w:val="002839"/>
                <w:lang w:val="fr-FR"/>
              </w:rPr>
            </w:pPr>
            <w:r w:rsidRPr="00E94D44">
              <w:rPr>
                <w:rFonts w:ascii="Arial Narrow" w:hAnsi="Arial Narrow"/>
                <w:color w:val="002839"/>
                <w:lang w:val="fr-FR"/>
              </w:rPr>
              <w:t>Autres ressources</w:t>
            </w:r>
          </w:p>
        </w:tc>
        <w:tc>
          <w:tcPr>
            <w:tcW w:w="1890" w:type="dxa"/>
            <w:tcBorders>
              <w:top w:val="nil"/>
              <w:left w:val="nil"/>
              <w:bottom w:val="nil"/>
              <w:right w:val="nil"/>
            </w:tcBorders>
            <w:shd w:val="clear" w:color="auto" w:fill="auto"/>
            <w:noWrap/>
            <w:vAlign w:val="center"/>
            <w:hideMark/>
          </w:tcPr>
          <w:p w14:paraId="21BC8F7C" w14:textId="6EEAFA14" w:rsidR="0035184F" w:rsidRPr="00E94D44" w:rsidRDefault="00C84D5E" w:rsidP="005A5A9F">
            <w:pPr>
              <w:rPr>
                <w:rFonts w:ascii="Arial Narrow" w:hAnsi="Arial Narrow"/>
                <w:color w:val="002839"/>
                <w:lang w:val="fr-FR"/>
              </w:rPr>
            </w:pPr>
            <w:r w:rsidRPr="00E94D44">
              <w:rPr>
                <w:rFonts w:ascii="Arial Narrow" w:hAnsi="Arial Narrow"/>
                <w:color w:val="002839"/>
                <w:lang w:val="fr-FR"/>
              </w:rPr>
              <w:t xml:space="preserve">            </w:t>
            </w:r>
            <w:r w:rsidR="0035184F" w:rsidRPr="00E94D44">
              <w:rPr>
                <w:rFonts w:ascii="Arial Narrow" w:hAnsi="Arial Narrow"/>
                <w:color w:val="002839"/>
                <w:lang w:val="fr-FR"/>
              </w:rPr>
              <w:t xml:space="preserve">  80 000</w:t>
            </w:r>
          </w:p>
        </w:tc>
        <w:tc>
          <w:tcPr>
            <w:tcW w:w="1323" w:type="dxa"/>
            <w:tcBorders>
              <w:top w:val="nil"/>
              <w:left w:val="nil"/>
              <w:bottom w:val="nil"/>
              <w:right w:val="nil"/>
            </w:tcBorders>
            <w:shd w:val="clear" w:color="auto" w:fill="auto"/>
            <w:vAlign w:val="center"/>
            <w:hideMark/>
          </w:tcPr>
          <w:p w14:paraId="59D93B85" w14:textId="25B1F662" w:rsidR="0035184F" w:rsidRPr="00E94D44" w:rsidRDefault="0035184F" w:rsidP="005A5A9F">
            <w:pPr>
              <w:rPr>
                <w:rFonts w:ascii="Arial Narrow" w:hAnsi="Arial Narrow"/>
                <w:color w:val="000000"/>
                <w:lang w:val="fr-FR"/>
              </w:rPr>
            </w:pPr>
            <w:r w:rsidRPr="00E94D44">
              <w:rPr>
                <w:rFonts w:ascii="Arial Narrow" w:hAnsi="Arial Narrow"/>
                <w:color w:val="000000"/>
                <w:lang w:val="fr-FR"/>
              </w:rPr>
              <w:t xml:space="preserve"> </w:t>
            </w:r>
            <w:r w:rsidR="00C84D5E" w:rsidRPr="00E94D44">
              <w:rPr>
                <w:rFonts w:ascii="Arial Narrow" w:hAnsi="Arial Narrow"/>
                <w:color w:val="000000"/>
                <w:lang w:val="fr-FR"/>
              </w:rPr>
              <w:t xml:space="preserve">        </w:t>
            </w:r>
            <w:r w:rsidRPr="00E94D44">
              <w:rPr>
                <w:rFonts w:ascii="Arial Narrow" w:hAnsi="Arial Narrow"/>
                <w:color w:val="000000"/>
                <w:lang w:val="fr-FR"/>
              </w:rPr>
              <w:t xml:space="preserve">  </w:t>
            </w:r>
            <w:r w:rsidRPr="00E94D44">
              <w:rPr>
                <w:rFonts w:ascii="Arial Narrow" w:hAnsi="Arial Narrow"/>
                <w:color w:val="002839"/>
                <w:lang w:val="fr-FR"/>
              </w:rPr>
              <w:t>78 782</w:t>
            </w:r>
          </w:p>
        </w:tc>
        <w:tc>
          <w:tcPr>
            <w:tcW w:w="1900" w:type="dxa"/>
            <w:tcBorders>
              <w:top w:val="nil"/>
              <w:left w:val="nil"/>
              <w:bottom w:val="nil"/>
              <w:right w:val="nil"/>
            </w:tcBorders>
            <w:shd w:val="clear" w:color="auto" w:fill="auto"/>
            <w:vAlign w:val="center"/>
            <w:hideMark/>
          </w:tcPr>
          <w:p w14:paraId="7DCD5559" w14:textId="202B5936" w:rsidR="0035184F" w:rsidRPr="00E94D44" w:rsidRDefault="0035184F" w:rsidP="005A5A9F">
            <w:pPr>
              <w:jc w:val="right"/>
              <w:rPr>
                <w:rFonts w:ascii="Arial Narrow" w:hAnsi="Arial Narrow"/>
                <w:color w:val="000000"/>
                <w:lang w:val="fr-FR"/>
              </w:rPr>
            </w:pPr>
            <w:r w:rsidRPr="00E94D44">
              <w:rPr>
                <w:rFonts w:ascii="Arial Narrow" w:hAnsi="Arial Narrow"/>
                <w:color w:val="000000"/>
                <w:lang w:val="fr-FR"/>
              </w:rPr>
              <w:t>98%</w:t>
            </w:r>
          </w:p>
          <w:p w14:paraId="49503716" w14:textId="77777777" w:rsidR="0035184F" w:rsidRPr="00E94D44" w:rsidRDefault="0035184F" w:rsidP="005A5A9F">
            <w:pPr>
              <w:jc w:val="right"/>
              <w:rPr>
                <w:rFonts w:ascii="Arial Narrow" w:hAnsi="Arial Narrow"/>
                <w:color w:val="000000"/>
                <w:lang w:val="fr-FR"/>
              </w:rPr>
            </w:pPr>
          </w:p>
        </w:tc>
      </w:tr>
      <w:tr w:rsidR="0035184F" w:rsidRPr="00E94D44" w14:paraId="696B890B" w14:textId="77777777" w:rsidTr="005A5A9F">
        <w:trPr>
          <w:trHeight w:val="403"/>
        </w:trPr>
        <w:tc>
          <w:tcPr>
            <w:tcW w:w="4942" w:type="dxa"/>
            <w:tcBorders>
              <w:top w:val="single" w:sz="4" w:space="0" w:color="AAB8C4"/>
              <w:left w:val="nil"/>
              <w:bottom w:val="single" w:sz="8" w:space="0" w:color="AAB8C4"/>
              <w:right w:val="nil"/>
            </w:tcBorders>
            <w:shd w:val="clear" w:color="auto" w:fill="auto"/>
            <w:noWrap/>
            <w:vAlign w:val="center"/>
            <w:hideMark/>
          </w:tcPr>
          <w:p w14:paraId="2563B0F8" w14:textId="77777777" w:rsidR="0035184F" w:rsidRPr="00E94D44" w:rsidRDefault="0035184F" w:rsidP="005A5A9F">
            <w:pPr>
              <w:rPr>
                <w:rFonts w:ascii="Arial Narrow" w:hAnsi="Arial Narrow"/>
                <w:b/>
                <w:bCs/>
                <w:color w:val="002839"/>
                <w:lang w:val="fr-FR"/>
              </w:rPr>
            </w:pPr>
            <w:r w:rsidRPr="00E94D44">
              <w:rPr>
                <w:rFonts w:ascii="Arial Narrow" w:hAnsi="Arial Narrow"/>
                <w:b/>
                <w:color w:val="002839"/>
                <w:lang w:val="fr-FR"/>
              </w:rPr>
              <w:t>Total</w:t>
            </w:r>
          </w:p>
        </w:tc>
        <w:tc>
          <w:tcPr>
            <w:tcW w:w="1890" w:type="dxa"/>
            <w:tcBorders>
              <w:top w:val="single" w:sz="4" w:space="0" w:color="AAB8C4"/>
              <w:left w:val="nil"/>
              <w:bottom w:val="single" w:sz="8" w:space="0" w:color="AAB8C4"/>
              <w:right w:val="nil"/>
            </w:tcBorders>
            <w:shd w:val="clear" w:color="auto" w:fill="auto"/>
            <w:noWrap/>
            <w:vAlign w:val="center"/>
            <w:hideMark/>
          </w:tcPr>
          <w:p w14:paraId="7C88E1F2" w14:textId="20B7243C" w:rsidR="0035184F" w:rsidRPr="00E94D44" w:rsidRDefault="0035184F" w:rsidP="005A5A9F">
            <w:pPr>
              <w:rPr>
                <w:rFonts w:ascii="Arial Narrow" w:hAnsi="Arial Narrow"/>
                <w:b/>
                <w:bCs/>
                <w:color w:val="002839"/>
                <w:lang w:val="fr-FR"/>
              </w:rPr>
            </w:pPr>
            <w:r w:rsidRPr="00E94D44">
              <w:rPr>
                <w:rFonts w:ascii="Arial Narrow" w:hAnsi="Arial Narrow"/>
                <w:b/>
                <w:color w:val="002839"/>
                <w:lang w:val="fr-FR"/>
              </w:rPr>
              <w:t xml:space="preserve"> </w:t>
            </w:r>
            <w:r w:rsidR="00C84D5E" w:rsidRPr="00E94D44">
              <w:rPr>
                <w:rFonts w:ascii="Arial Narrow" w:hAnsi="Arial Narrow"/>
                <w:b/>
                <w:bCs/>
                <w:color w:val="002839"/>
                <w:lang w:val="fr-FR"/>
              </w:rPr>
              <w:t xml:space="preserve">            </w:t>
            </w:r>
            <w:r w:rsidRPr="00E94D44">
              <w:rPr>
                <w:rFonts w:ascii="Arial Narrow" w:hAnsi="Arial Narrow"/>
                <w:b/>
                <w:color w:val="002839"/>
                <w:lang w:val="fr-FR"/>
              </w:rPr>
              <w:t xml:space="preserve"> 80 000</w:t>
            </w:r>
          </w:p>
        </w:tc>
        <w:tc>
          <w:tcPr>
            <w:tcW w:w="1323" w:type="dxa"/>
            <w:tcBorders>
              <w:top w:val="single" w:sz="4" w:space="0" w:color="AAB8C4"/>
              <w:left w:val="nil"/>
              <w:bottom w:val="single" w:sz="8" w:space="0" w:color="AAB8C4"/>
              <w:right w:val="nil"/>
            </w:tcBorders>
            <w:shd w:val="clear" w:color="auto" w:fill="auto"/>
            <w:noWrap/>
            <w:vAlign w:val="center"/>
            <w:hideMark/>
          </w:tcPr>
          <w:p w14:paraId="2A510889" w14:textId="55BD3FE0" w:rsidR="0035184F" w:rsidRPr="00E94D44" w:rsidRDefault="00C84D5E" w:rsidP="005A5A9F">
            <w:pPr>
              <w:rPr>
                <w:rFonts w:ascii="Arial Narrow" w:hAnsi="Arial Narrow"/>
                <w:b/>
                <w:color w:val="002839"/>
                <w:lang w:val="fr-FR"/>
              </w:rPr>
            </w:pPr>
            <w:r w:rsidRPr="00E94D44">
              <w:rPr>
                <w:rFonts w:ascii="Arial Narrow" w:hAnsi="Arial Narrow"/>
                <w:b/>
                <w:color w:val="002839"/>
                <w:lang w:val="fr-FR"/>
              </w:rPr>
              <w:t xml:space="preserve">      </w:t>
            </w:r>
            <w:r w:rsidR="00510B44" w:rsidRPr="00E94D44">
              <w:rPr>
                <w:rFonts w:ascii="Arial Narrow" w:hAnsi="Arial Narrow"/>
                <w:b/>
                <w:color w:val="002839"/>
                <w:lang w:val="fr-FR"/>
              </w:rPr>
              <w:t xml:space="preserve">   </w:t>
            </w:r>
            <w:r w:rsidR="0035184F" w:rsidRPr="00E94D44">
              <w:rPr>
                <w:rFonts w:ascii="Arial Narrow" w:hAnsi="Arial Narrow"/>
                <w:b/>
                <w:color w:val="002839"/>
                <w:lang w:val="fr-FR"/>
              </w:rPr>
              <w:t xml:space="preserve">  78 782</w:t>
            </w:r>
          </w:p>
        </w:tc>
        <w:tc>
          <w:tcPr>
            <w:tcW w:w="1900" w:type="dxa"/>
            <w:tcBorders>
              <w:top w:val="single" w:sz="4" w:space="0" w:color="AAB8C4"/>
              <w:left w:val="nil"/>
              <w:bottom w:val="single" w:sz="8" w:space="0" w:color="AAB8C4"/>
              <w:right w:val="nil"/>
            </w:tcBorders>
            <w:shd w:val="clear" w:color="auto" w:fill="auto"/>
            <w:noWrap/>
            <w:vAlign w:val="center"/>
            <w:hideMark/>
          </w:tcPr>
          <w:p w14:paraId="01C140EC" w14:textId="395A18CE" w:rsidR="0035184F" w:rsidRPr="00E94D44" w:rsidRDefault="0035184F" w:rsidP="005A5A9F">
            <w:pPr>
              <w:jc w:val="right"/>
              <w:rPr>
                <w:rFonts w:ascii="Arial Narrow" w:hAnsi="Arial Narrow"/>
                <w:b/>
                <w:bCs/>
                <w:color w:val="002839"/>
                <w:lang w:val="fr-FR"/>
              </w:rPr>
            </w:pPr>
            <w:r w:rsidRPr="00E94D44">
              <w:rPr>
                <w:rFonts w:ascii="Arial Narrow" w:hAnsi="Arial Narrow"/>
                <w:b/>
                <w:color w:val="002839"/>
                <w:lang w:val="fr-FR"/>
              </w:rPr>
              <w:t>98%</w:t>
            </w:r>
          </w:p>
          <w:p w14:paraId="6DE44658" w14:textId="77777777" w:rsidR="0035184F" w:rsidRPr="00E94D44" w:rsidRDefault="0035184F" w:rsidP="005A5A9F">
            <w:pPr>
              <w:jc w:val="right"/>
              <w:rPr>
                <w:rFonts w:ascii="Arial Narrow" w:hAnsi="Arial Narrow"/>
                <w:b/>
                <w:bCs/>
                <w:color w:val="002839"/>
                <w:lang w:val="fr-FR"/>
              </w:rPr>
            </w:pPr>
          </w:p>
        </w:tc>
      </w:tr>
      <w:tr w:rsidR="0035184F" w:rsidRPr="00E94D44" w14:paraId="77D00C8C" w14:textId="77777777" w:rsidTr="005A5A9F">
        <w:trPr>
          <w:trHeight w:val="278"/>
        </w:trPr>
        <w:tc>
          <w:tcPr>
            <w:tcW w:w="10055" w:type="dxa"/>
            <w:gridSpan w:val="4"/>
            <w:tcBorders>
              <w:top w:val="nil"/>
              <w:left w:val="nil"/>
              <w:bottom w:val="nil"/>
              <w:right w:val="nil"/>
            </w:tcBorders>
            <w:shd w:val="clear" w:color="auto" w:fill="auto"/>
            <w:noWrap/>
            <w:vAlign w:val="bottom"/>
            <w:hideMark/>
          </w:tcPr>
          <w:p w14:paraId="5D754B21" w14:textId="77777777" w:rsidR="0035184F" w:rsidRPr="00E94D44" w:rsidRDefault="0035184F" w:rsidP="005A5A9F">
            <w:pPr>
              <w:rPr>
                <w:rFonts w:ascii="Times New Roman" w:hAnsi="Times New Roman" w:cs="Times New Roman"/>
                <w:sz w:val="20"/>
                <w:lang w:val="fr-FR"/>
              </w:rPr>
            </w:pPr>
          </w:p>
        </w:tc>
      </w:tr>
      <w:tr w:rsidR="0035184F" w:rsidRPr="00E94D44" w14:paraId="457DFE52" w14:textId="77777777" w:rsidTr="005A5A9F">
        <w:trPr>
          <w:trHeight w:val="240"/>
        </w:trPr>
        <w:tc>
          <w:tcPr>
            <w:tcW w:w="4942" w:type="dxa"/>
            <w:tcBorders>
              <w:top w:val="nil"/>
              <w:left w:val="nil"/>
              <w:bottom w:val="nil"/>
              <w:right w:val="nil"/>
            </w:tcBorders>
            <w:shd w:val="clear" w:color="auto" w:fill="auto"/>
            <w:noWrap/>
            <w:vAlign w:val="bottom"/>
            <w:hideMark/>
          </w:tcPr>
          <w:p w14:paraId="037E55B8" w14:textId="77777777" w:rsidR="0035184F" w:rsidRPr="00E94D44" w:rsidRDefault="0035184F" w:rsidP="005A5A9F">
            <w:pPr>
              <w:rPr>
                <w:rFonts w:ascii="Times New Roman" w:hAnsi="Times New Roman" w:cs="Times New Roman"/>
                <w:sz w:val="20"/>
                <w:lang w:val="fr-FR"/>
              </w:rPr>
            </w:pPr>
          </w:p>
        </w:tc>
        <w:tc>
          <w:tcPr>
            <w:tcW w:w="1890" w:type="dxa"/>
            <w:tcBorders>
              <w:top w:val="nil"/>
              <w:left w:val="nil"/>
              <w:bottom w:val="nil"/>
              <w:right w:val="nil"/>
            </w:tcBorders>
            <w:shd w:val="clear" w:color="auto" w:fill="auto"/>
            <w:noWrap/>
            <w:vAlign w:val="bottom"/>
            <w:hideMark/>
          </w:tcPr>
          <w:p w14:paraId="20AB14E4" w14:textId="77777777" w:rsidR="0035184F" w:rsidRPr="00E94D44" w:rsidRDefault="0035184F" w:rsidP="005A5A9F">
            <w:pPr>
              <w:rPr>
                <w:rFonts w:ascii="Times New Roman" w:hAnsi="Times New Roman" w:cs="Times New Roman"/>
                <w:sz w:val="20"/>
                <w:lang w:val="fr-FR"/>
              </w:rPr>
            </w:pPr>
          </w:p>
        </w:tc>
        <w:tc>
          <w:tcPr>
            <w:tcW w:w="1323" w:type="dxa"/>
            <w:tcBorders>
              <w:top w:val="nil"/>
              <w:left w:val="nil"/>
              <w:bottom w:val="nil"/>
              <w:right w:val="nil"/>
            </w:tcBorders>
            <w:shd w:val="clear" w:color="auto" w:fill="auto"/>
            <w:noWrap/>
            <w:vAlign w:val="bottom"/>
            <w:hideMark/>
          </w:tcPr>
          <w:p w14:paraId="5E4D2646" w14:textId="77777777" w:rsidR="0035184F" w:rsidRPr="00E94D44" w:rsidRDefault="0035184F" w:rsidP="005A5A9F">
            <w:pPr>
              <w:rPr>
                <w:rFonts w:ascii="Times New Roman" w:hAnsi="Times New Roman" w:cs="Times New Roman"/>
                <w:sz w:val="20"/>
                <w:lang w:val="fr-FR"/>
              </w:rPr>
            </w:pPr>
          </w:p>
        </w:tc>
        <w:tc>
          <w:tcPr>
            <w:tcW w:w="1900" w:type="dxa"/>
            <w:tcBorders>
              <w:top w:val="nil"/>
              <w:left w:val="nil"/>
              <w:bottom w:val="nil"/>
              <w:right w:val="nil"/>
            </w:tcBorders>
            <w:shd w:val="clear" w:color="auto" w:fill="auto"/>
            <w:noWrap/>
            <w:vAlign w:val="bottom"/>
            <w:hideMark/>
          </w:tcPr>
          <w:p w14:paraId="50C23527" w14:textId="77777777" w:rsidR="0035184F" w:rsidRPr="00E94D44" w:rsidRDefault="0035184F" w:rsidP="005A5A9F">
            <w:pPr>
              <w:rPr>
                <w:rFonts w:ascii="Times New Roman" w:hAnsi="Times New Roman" w:cs="Times New Roman"/>
                <w:sz w:val="20"/>
                <w:lang w:val="fr-FR"/>
              </w:rPr>
            </w:pPr>
          </w:p>
        </w:tc>
      </w:tr>
    </w:tbl>
    <w:p w14:paraId="31CAA39A" w14:textId="0F142440" w:rsidR="002A0D44" w:rsidRPr="00E94D44" w:rsidRDefault="0035184F" w:rsidP="0035184F">
      <w:pPr>
        <w:pStyle w:val="Endofdocument-Annex"/>
        <w:spacing w:before="720"/>
        <w:ind w:left="5530"/>
        <w:rPr>
          <w:lang w:val="fr-FR"/>
        </w:rPr>
      </w:pPr>
      <w:r w:rsidRPr="00E94D44">
        <w:rPr>
          <w:lang w:val="fr-FR"/>
        </w:rPr>
        <w:t>[Fin de l</w:t>
      </w:r>
      <w:r w:rsidR="00124AD9" w:rsidRPr="00E94D44">
        <w:rPr>
          <w:lang w:val="fr-FR"/>
        </w:rPr>
        <w:t>’</w:t>
      </w:r>
      <w:r w:rsidRPr="00E94D44">
        <w:rPr>
          <w:lang w:val="fr-FR"/>
        </w:rPr>
        <w:t>annexe II et du document]</w:t>
      </w:r>
    </w:p>
    <w:sectPr w:rsidR="002A0D44" w:rsidRPr="00E94D44" w:rsidSect="0035184F">
      <w:headerReference w:type="first" r:id="rId20"/>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5999" w14:textId="77777777" w:rsidR="00FC142F" w:rsidRDefault="00FC142F">
      <w:r>
        <w:separator/>
      </w:r>
    </w:p>
  </w:endnote>
  <w:endnote w:type="continuationSeparator" w:id="0">
    <w:p w14:paraId="238D2DD4" w14:textId="77777777" w:rsidR="00FC142F" w:rsidRPr="009D30E6" w:rsidRDefault="00FC142F" w:rsidP="00D45252">
      <w:pPr>
        <w:rPr>
          <w:sz w:val="17"/>
          <w:szCs w:val="17"/>
        </w:rPr>
      </w:pPr>
      <w:r w:rsidRPr="009D30E6">
        <w:rPr>
          <w:sz w:val="17"/>
          <w:szCs w:val="17"/>
        </w:rPr>
        <w:separator/>
      </w:r>
    </w:p>
    <w:p w14:paraId="7A23F48E" w14:textId="77777777" w:rsidR="00FC142F" w:rsidRPr="009D30E6" w:rsidRDefault="00FC142F" w:rsidP="00D45252">
      <w:pPr>
        <w:spacing w:after="60"/>
        <w:rPr>
          <w:sz w:val="17"/>
          <w:szCs w:val="17"/>
        </w:rPr>
      </w:pPr>
      <w:r w:rsidRPr="009D30E6">
        <w:rPr>
          <w:sz w:val="17"/>
          <w:szCs w:val="17"/>
        </w:rPr>
        <w:t>[Suite de la note de la page précédente]</w:t>
      </w:r>
    </w:p>
  </w:endnote>
  <w:endnote w:type="continuationNotice" w:id="1">
    <w:p w14:paraId="0959A3CA" w14:textId="77777777" w:rsidR="00FC142F" w:rsidRPr="009D30E6" w:rsidRDefault="00FC142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B921" w14:textId="77777777" w:rsidR="00FC142F" w:rsidRDefault="00FC142F">
      <w:r>
        <w:separator/>
      </w:r>
    </w:p>
  </w:footnote>
  <w:footnote w:type="continuationSeparator" w:id="0">
    <w:p w14:paraId="50EE08ED" w14:textId="77777777" w:rsidR="00FC142F" w:rsidRDefault="00FC142F" w:rsidP="007461F1">
      <w:r>
        <w:separator/>
      </w:r>
    </w:p>
    <w:p w14:paraId="56D94E41" w14:textId="77777777" w:rsidR="00FC142F" w:rsidRPr="009D30E6" w:rsidRDefault="00FC142F" w:rsidP="007461F1">
      <w:pPr>
        <w:spacing w:after="60"/>
        <w:rPr>
          <w:sz w:val="17"/>
          <w:szCs w:val="17"/>
        </w:rPr>
      </w:pPr>
      <w:r w:rsidRPr="009D30E6">
        <w:rPr>
          <w:sz w:val="17"/>
          <w:szCs w:val="17"/>
        </w:rPr>
        <w:t>[Suite de la note de la page précédente]</w:t>
      </w:r>
    </w:p>
  </w:footnote>
  <w:footnote w:type="continuationNotice" w:id="1">
    <w:p w14:paraId="1DA6902D" w14:textId="77777777" w:rsidR="00FC142F" w:rsidRPr="009D30E6" w:rsidRDefault="00FC142F" w:rsidP="007461F1">
      <w:pPr>
        <w:spacing w:before="60"/>
        <w:jc w:val="right"/>
        <w:rPr>
          <w:sz w:val="17"/>
          <w:szCs w:val="17"/>
        </w:rPr>
      </w:pPr>
      <w:r w:rsidRPr="009D30E6">
        <w:rPr>
          <w:sz w:val="17"/>
          <w:szCs w:val="17"/>
        </w:rPr>
        <w:t>[Suite de la note page suivante]</w:t>
      </w:r>
    </w:p>
  </w:footnote>
  <w:footnote w:id="2">
    <w:p w14:paraId="441A8688" w14:textId="6DFBF50B" w:rsidR="002A0D44" w:rsidRDefault="002A0D44" w:rsidP="002A0D44">
      <w:pPr>
        <w:pStyle w:val="FootnoteText"/>
      </w:pPr>
      <w:r>
        <w:rPr>
          <w:rStyle w:val="FootnoteReference"/>
        </w:rPr>
        <w:footnoteRef/>
      </w:r>
      <w:r>
        <w:t xml:space="preserve"> </w:t>
      </w:r>
      <w:r>
        <w:tab/>
        <w:t>Trente et un membres du personnel</w:t>
      </w:r>
      <w:r w:rsidR="00D15D9E">
        <w:t xml:space="preserve"> des CAT</w:t>
      </w:r>
      <w:r>
        <w:t>I (16 des Philippines et 15 de Malaisie) ont participé à la 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0E23" w14:textId="77777777" w:rsidR="002A0D44" w:rsidRPr="002326AB" w:rsidRDefault="002A0D44" w:rsidP="00A820D6">
    <w:pPr>
      <w:jc w:val="right"/>
      <w:rPr>
        <w:caps/>
      </w:rPr>
    </w:pPr>
    <w:r>
      <w:rPr>
        <w:caps/>
      </w:rPr>
      <w:t>CDIP/32/5</w:t>
    </w:r>
  </w:p>
  <w:p w14:paraId="78962D21" w14:textId="77777777" w:rsidR="002A0D44" w:rsidRDefault="002A0D44" w:rsidP="00A820D6">
    <w:pPr>
      <w:jc w:val="right"/>
    </w:pPr>
    <w:r>
      <w:t>Annexe I, page </w:t>
    </w:r>
    <w:r>
      <w:fldChar w:fldCharType="begin"/>
    </w:r>
    <w:r>
      <w:instrText xml:space="preserve"> PAGE  \* MERGEFORMAT </w:instrText>
    </w:r>
    <w:r>
      <w:fldChar w:fldCharType="separate"/>
    </w:r>
    <w:r>
      <w:t>9</w:t>
    </w:r>
    <w:r>
      <w:fldChar w:fldCharType="end"/>
    </w:r>
  </w:p>
  <w:p w14:paraId="344E31B7" w14:textId="77777777" w:rsidR="002A0D44" w:rsidRDefault="002A0D44">
    <w:pPr>
      <w:pStyle w:val="Header"/>
    </w:pPr>
  </w:p>
  <w:p w14:paraId="36D61485" w14:textId="77777777" w:rsidR="002A0D44" w:rsidRDefault="002A0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030C" w14:textId="77777777" w:rsidR="00F16975" w:rsidRPr="00B45C15" w:rsidRDefault="00FC142F" w:rsidP="00477D6B">
    <w:pPr>
      <w:jc w:val="right"/>
      <w:rPr>
        <w:caps/>
      </w:rPr>
    </w:pPr>
    <w:bookmarkStart w:id="4" w:name="Code2"/>
    <w:bookmarkEnd w:id="4"/>
    <w:r>
      <w:rPr>
        <w:caps/>
      </w:rPr>
      <w:t>CDIP/32/5</w:t>
    </w:r>
  </w:p>
  <w:p w14:paraId="2C219124" w14:textId="77777777" w:rsidR="00574036" w:rsidRDefault="002A0D44" w:rsidP="002A0D44">
    <w:pPr>
      <w:spacing w:after="480"/>
      <w:jc w:val="right"/>
    </w:pPr>
    <w:r>
      <w:t xml:space="preserve">Annexe I, </w:t>
    </w:r>
    <w:r w:rsidR="00F16975">
      <w:t>pag</w:t>
    </w:r>
    <w:r>
      <w:t>e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935" w14:textId="77777777" w:rsidR="002A0D44" w:rsidRDefault="002A0D44" w:rsidP="002A0D44">
    <w:pPr>
      <w:pStyle w:val="Header"/>
      <w:jc w:val="right"/>
    </w:pPr>
    <w:r>
      <w:t>CDIP/32/5</w:t>
    </w:r>
  </w:p>
  <w:p w14:paraId="50668E5E" w14:textId="77777777" w:rsidR="002A0D44" w:rsidRDefault="002A0D44" w:rsidP="002A0D44">
    <w:pPr>
      <w:pStyle w:val="Header"/>
      <w:spacing w:after="480"/>
      <w:jc w:val="right"/>
    </w:pPr>
    <w:r>
      <w:t>ANNEXE I</w:t>
    </w:r>
    <w:r w:rsidR="0035184F">
      <w:t>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76D1" w14:textId="77777777" w:rsidR="0035184F" w:rsidRDefault="0035184F" w:rsidP="002A0D44">
    <w:pPr>
      <w:pStyle w:val="Header"/>
      <w:jc w:val="right"/>
    </w:pPr>
    <w:r>
      <w:t>CDIP/32/5</w:t>
    </w:r>
  </w:p>
  <w:p w14:paraId="7345FD5D" w14:textId="77777777" w:rsidR="0035184F" w:rsidRDefault="0035184F" w:rsidP="002A0D44">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444350"/>
    <w:multiLevelType w:val="hybridMultilevel"/>
    <w:tmpl w:val="9C5AD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854E0C"/>
    <w:multiLevelType w:val="hybridMultilevel"/>
    <w:tmpl w:val="BB56465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6584058"/>
    <w:multiLevelType w:val="hybridMultilevel"/>
    <w:tmpl w:val="ED56BFEE"/>
    <w:lvl w:ilvl="0" w:tplc="71CACBE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 w15:restartNumberingAfterBreak="0">
    <w:nsid w:val="2A3914A2"/>
    <w:multiLevelType w:val="hybridMultilevel"/>
    <w:tmpl w:val="94DE9D7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E9922F3"/>
    <w:multiLevelType w:val="hybridMultilevel"/>
    <w:tmpl w:val="120A763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41395FCB"/>
    <w:multiLevelType w:val="hybridMultilevel"/>
    <w:tmpl w:val="75140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7E6728"/>
    <w:multiLevelType w:val="hybridMultilevel"/>
    <w:tmpl w:val="B81CAB7A"/>
    <w:lvl w:ilvl="0" w:tplc="F4562110">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1AF5301"/>
    <w:multiLevelType w:val="hybridMultilevel"/>
    <w:tmpl w:val="3452A83E"/>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CFD4D71"/>
    <w:multiLevelType w:val="hybridMultilevel"/>
    <w:tmpl w:val="49AC9F1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7D4C0F72"/>
    <w:multiLevelType w:val="hybridMultilevel"/>
    <w:tmpl w:val="75C0B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3647199">
    <w:abstractNumId w:val="2"/>
  </w:num>
  <w:num w:numId="2" w16cid:durableId="1514341178">
    <w:abstractNumId w:val="10"/>
  </w:num>
  <w:num w:numId="3" w16cid:durableId="1600137799">
    <w:abstractNumId w:val="0"/>
  </w:num>
  <w:num w:numId="4" w16cid:durableId="2007901379">
    <w:abstractNumId w:val="11"/>
  </w:num>
  <w:num w:numId="5" w16cid:durableId="1962764970">
    <w:abstractNumId w:val="1"/>
  </w:num>
  <w:num w:numId="6" w16cid:durableId="1856072525">
    <w:abstractNumId w:val="4"/>
  </w:num>
  <w:num w:numId="7" w16cid:durableId="1821338686">
    <w:abstractNumId w:val="14"/>
  </w:num>
  <w:num w:numId="8" w16cid:durableId="1440832393">
    <w:abstractNumId w:val="12"/>
  </w:num>
  <w:num w:numId="9" w16cid:durableId="42875197">
    <w:abstractNumId w:val="15"/>
  </w:num>
  <w:num w:numId="10" w16cid:durableId="701898429">
    <w:abstractNumId w:val="8"/>
  </w:num>
  <w:num w:numId="11" w16cid:durableId="1826899510">
    <w:abstractNumId w:val="5"/>
  </w:num>
  <w:num w:numId="12" w16cid:durableId="964889326">
    <w:abstractNumId w:val="7"/>
  </w:num>
  <w:num w:numId="13" w16cid:durableId="4137041">
    <w:abstractNumId w:val="6"/>
  </w:num>
  <w:num w:numId="14" w16cid:durableId="522716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8221351">
    <w:abstractNumId w:val="3"/>
  </w:num>
  <w:num w:numId="16" w16cid:durableId="2106264184">
    <w:abstractNumId w:val="9"/>
  </w:num>
  <w:num w:numId="17" w16cid:durableId="1490631546">
    <w:abstractNumId w:val="16"/>
  </w:num>
  <w:num w:numId="18" w16cid:durableId="2100980730">
    <w:abstractNumId w:val="4"/>
  </w:num>
  <w:num w:numId="19" w16cid:durableId="1599097353">
    <w:abstractNumId w:val="4"/>
  </w:num>
  <w:num w:numId="20" w16cid:durableId="2141873555">
    <w:abstractNumId w:val="4"/>
  </w:num>
  <w:num w:numId="21" w16cid:durableId="1467625785">
    <w:abstractNumId w:val="4"/>
  </w:num>
  <w:num w:numId="22" w16cid:durableId="2050451814">
    <w:abstractNumId w:val="4"/>
  </w:num>
  <w:num w:numId="23" w16cid:durableId="1895582058">
    <w:abstractNumId w:val="4"/>
  </w:num>
  <w:num w:numId="24" w16cid:durableId="324361224">
    <w:abstractNumId w:val="4"/>
  </w:num>
  <w:num w:numId="25" w16cid:durableId="619458498">
    <w:abstractNumId w:val="4"/>
  </w:num>
  <w:num w:numId="26" w16cid:durableId="2140609514">
    <w:abstractNumId w:val="4"/>
  </w:num>
  <w:num w:numId="27" w16cid:durableId="877282656">
    <w:abstractNumId w:val="4"/>
  </w:num>
  <w:num w:numId="28" w16cid:durableId="684597428">
    <w:abstractNumId w:val="4"/>
  </w:num>
  <w:num w:numId="29" w16cid:durableId="1682511156">
    <w:abstractNumId w:val="4"/>
  </w:num>
  <w:num w:numId="30" w16cid:durableId="64035439">
    <w:abstractNumId w:val="4"/>
  </w:num>
  <w:num w:numId="31" w16cid:durableId="479925034">
    <w:abstractNumId w:val="4"/>
  </w:num>
  <w:num w:numId="32" w16cid:durableId="1505197233">
    <w:abstractNumId w:val="4"/>
  </w:num>
  <w:num w:numId="33" w16cid:durableId="1008559111">
    <w:abstractNumId w:val="4"/>
  </w:num>
  <w:num w:numId="34" w16cid:durableId="692802758">
    <w:abstractNumId w:val="4"/>
  </w:num>
  <w:num w:numId="35" w16cid:durableId="271590104">
    <w:abstractNumId w:val="4"/>
  </w:num>
  <w:num w:numId="36" w16cid:durableId="893809940">
    <w:abstractNumId w:val="4"/>
  </w:num>
  <w:num w:numId="37" w16cid:durableId="115490609">
    <w:abstractNumId w:val="4"/>
  </w:num>
  <w:num w:numId="38" w16cid:durableId="798376460">
    <w:abstractNumId w:val="4"/>
  </w:num>
  <w:num w:numId="39" w16cid:durableId="498735097">
    <w:abstractNumId w:val="13"/>
  </w:num>
  <w:num w:numId="40" w16cid:durableId="531961463">
    <w:abstractNumId w:val="4"/>
  </w:num>
  <w:num w:numId="41" w16cid:durableId="962658827">
    <w:abstractNumId w:val="4"/>
  </w:num>
  <w:num w:numId="42" w16cid:durableId="1357148078">
    <w:abstractNumId w:val="4"/>
  </w:num>
  <w:num w:numId="43" w16cid:durableId="1690182616">
    <w:abstractNumId w:val="4"/>
  </w:num>
  <w:num w:numId="44" w16cid:durableId="946424775">
    <w:abstractNumId w:val="4"/>
  </w:num>
  <w:num w:numId="45" w16cid:durableId="20130912">
    <w:abstractNumId w:val="4"/>
  </w:num>
  <w:num w:numId="46" w16cid:durableId="263810188">
    <w:abstractNumId w:val="4"/>
  </w:num>
  <w:num w:numId="47" w16cid:durableId="1374233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2F"/>
    <w:rsid w:val="00011B7D"/>
    <w:rsid w:val="00020C7E"/>
    <w:rsid w:val="00075432"/>
    <w:rsid w:val="000760CD"/>
    <w:rsid w:val="0009458A"/>
    <w:rsid w:val="000F4278"/>
    <w:rsid w:val="000F5E56"/>
    <w:rsid w:val="001060FF"/>
    <w:rsid w:val="00124AD9"/>
    <w:rsid w:val="00126F7B"/>
    <w:rsid w:val="001362EE"/>
    <w:rsid w:val="001832A6"/>
    <w:rsid w:val="00195C6E"/>
    <w:rsid w:val="001B266A"/>
    <w:rsid w:val="001B488E"/>
    <w:rsid w:val="001C6508"/>
    <w:rsid w:val="001D3D56"/>
    <w:rsid w:val="00240654"/>
    <w:rsid w:val="002634C4"/>
    <w:rsid w:val="00270F7C"/>
    <w:rsid w:val="00271369"/>
    <w:rsid w:val="002956DE"/>
    <w:rsid w:val="002A0D44"/>
    <w:rsid w:val="002E4D1A"/>
    <w:rsid w:val="002F16BC"/>
    <w:rsid w:val="002F4E68"/>
    <w:rsid w:val="00322C0B"/>
    <w:rsid w:val="0035184F"/>
    <w:rsid w:val="003637BB"/>
    <w:rsid w:val="00381798"/>
    <w:rsid w:val="003845C1"/>
    <w:rsid w:val="003A67A3"/>
    <w:rsid w:val="004008A2"/>
    <w:rsid w:val="004025DF"/>
    <w:rsid w:val="0040540C"/>
    <w:rsid w:val="00423E3E"/>
    <w:rsid w:val="00427AF4"/>
    <w:rsid w:val="004647DA"/>
    <w:rsid w:val="00477D6B"/>
    <w:rsid w:val="004D6471"/>
    <w:rsid w:val="00510B44"/>
    <w:rsid w:val="0051455D"/>
    <w:rsid w:val="00525B63"/>
    <w:rsid w:val="00525E59"/>
    <w:rsid w:val="00541348"/>
    <w:rsid w:val="005421DD"/>
    <w:rsid w:val="00554FA5"/>
    <w:rsid w:val="00567A4C"/>
    <w:rsid w:val="00574036"/>
    <w:rsid w:val="00595F07"/>
    <w:rsid w:val="005E6516"/>
    <w:rsid w:val="00605827"/>
    <w:rsid w:val="00611E99"/>
    <w:rsid w:val="00616671"/>
    <w:rsid w:val="006210C5"/>
    <w:rsid w:val="006A7E90"/>
    <w:rsid w:val="006B0DB5"/>
    <w:rsid w:val="006E1EC4"/>
    <w:rsid w:val="007461F1"/>
    <w:rsid w:val="007D6961"/>
    <w:rsid w:val="007F07CB"/>
    <w:rsid w:val="0080043C"/>
    <w:rsid w:val="00807C77"/>
    <w:rsid w:val="00810CEF"/>
    <w:rsid w:val="0081208D"/>
    <w:rsid w:val="0081588A"/>
    <w:rsid w:val="0082276E"/>
    <w:rsid w:val="00861FE6"/>
    <w:rsid w:val="00897816"/>
    <w:rsid w:val="008B2CC1"/>
    <w:rsid w:val="008E7930"/>
    <w:rsid w:val="0090731E"/>
    <w:rsid w:val="00966A22"/>
    <w:rsid w:val="00974CD6"/>
    <w:rsid w:val="009940FE"/>
    <w:rsid w:val="009D30E6"/>
    <w:rsid w:val="009E3F6F"/>
    <w:rsid w:val="009F499F"/>
    <w:rsid w:val="00A11D74"/>
    <w:rsid w:val="00A430E8"/>
    <w:rsid w:val="00AC0AE4"/>
    <w:rsid w:val="00AD61DB"/>
    <w:rsid w:val="00AE47C0"/>
    <w:rsid w:val="00B1090C"/>
    <w:rsid w:val="00B35AF5"/>
    <w:rsid w:val="00B45C15"/>
    <w:rsid w:val="00B539C3"/>
    <w:rsid w:val="00BE0BE0"/>
    <w:rsid w:val="00C664C8"/>
    <w:rsid w:val="00C84D5E"/>
    <w:rsid w:val="00CF0460"/>
    <w:rsid w:val="00D11D2C"/>
    <w:rsid w:val="00D15D9E"/>
    <w:rsid w:val="00D266E7"/>
    <w:rsid w:val="00D43E0F"/>
    <w:rsid w:val="00D45252"/>
    <w:rsid w:val="00D62E37"/>
    <w:rsid w:val="00D71B4D"/>
    <w:rsid w:val="00D75C1E"/>
    <w:rsid w:val="00D93D55"/>
    <w:rsid w:val="00DB1C48"/>
    <w:rsid w:val="00DD4917"/>
    <w:rsid w:val="00DD6A16"/>
    <w:rsid w:val="00E0091A"/>
    <w:rsid w:val="00E1082F"/>
    <w:rsid w:val="00E203AA"/>
    <w:rsid w:val="00E5217A"/>
    <w:rsid w:val="00E527A5"/>
    <w:rsid w:val="00E76456"/>
    <w:rsid w:val="00E94D44"/>
    <w:rsid w:val="00EE71CB"/>
    <w:rsid w:val="00F10BF2"/>
    <w:rsid w:val="00F16975"/>
    <w:rsid w:val="00F66152"/>
    <w:rsid w:val="00FC142F"/>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23BAE"/>
  <w15:docId w15:val="{9B362B2D-FD96-44B2-B0B6-43D630A2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link w:val="Heading2"/>
    <w:rsid w:val="00FC14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C142F"/>
    <w:rPr>
      <w:rFonts w:ascii="Arial" w:eastAsia="SimSun" w:hAnsi="Arial" w:cs="Arial"/>
      <w:bCs/>
      <w:sz w:val="22"/>
      <w:szCs w:val="26"/>
      <w:u w:val="single"/>
      <w:lang w:eastAsia="zh-CN"/>
    </w:rPr>
  </w:style>
  <w:style w:type="paragraph" w:customStyle="1" w:styleId="TableParagraph">
    <w:name w:val="Table Paragraph"/>
    <w:basedOn w:val="Normal"/>
    <w:uiPriority w:val="1"/>
    <w:qFormat/>
    <w:rsid w:val="002A0D44"/>
    <w:pPr>
      <w:widowControl w:val="0"/>
      <w:autoSpaceDE w:val="0"/>
      <w:autoSpaceDN w:val="0"/>
    </w:pPr>
    <w:rPr>
      <w:rFonts w:eastAsia="Arial"/>
      <w:szCs w:val="22"/>
      <w:lang w:val="fr-FR" w:eastAsia="en-US"/>
    </w:rPr>
  </w:style>
  <w:style w:type="character" w:styleId="Hyperlink">
    <w:name w:val="Hyperlink"/>
    <w:basedOn w:val="DefaultParagraphFont"/>
    <w:unhideWhenUsed/>
    <w:rsid w:val="002A0D44"/>
    <w:rPr>
      <w:color w:val="0000FF" w:themeColor="hyperlink"/>
      <w:u w:val="single"/>
    </w:rPr>
  </w:style>
  <w:style w:type="paragraph" w:styleId="ListParagraph">
    <w:name w:val="List Paragraph"/>
    <w:basedOn w:val="Normal"/>
    <w:uiPriority w:val="34"/>
    <w:qFormat/>
    <w:rsid w:val="002A0D44"/>
    <w:pPr>
      <w:widowControl w:val="0"/>
      <w:autoSpaceDE w:val="0"/>
      <w:autoSpaceDN w:val="0"/>
      <w:ind w:left="720"/>
      <w:contextualSpacing/>
    </w:pPr>
    <w:rPr>
      <w:rFonts w:eastAsia="Arial"/>
      <w:szCs w:val="22"/>
      <w:lang w:val="fr-FR" w:eastAsia="en-US"/>
    </w:rPr>
  </w:style>
  <w:style w:type="character" w:styleId="FootnoteReference">
    <w:name w:val="footnote reference"/>
    <w:basedOn w:val="DefaultParagraphFont"/>
    <w:semiHidden/>
    <w:unhideWhenUsed/>
    <w:rsid w:val="002A0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isc/fr/inventions-public-domai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en/doc_details.jsp?doc_id=552082" TargetMode="External"/><Relationship Id="rId17" Type="http://schemas.openxmlformats.org/officeDocument/2006/relationships/hyperlink" Target="https://dacatalogue.wipo.int/projects/DA_16_20_04" TargetMode="External"/><Relationship Id="rId2" Type="http://schemas.openxmlformats.org/officeDocument/2006/relationships/numbering" Target="numbering.xml"/><Relationship Id="rId16" Type="http://schemas.openxmlformats.org/officeDocument/2006/relationships/hyperlink" Target="http://www.wipo.int/tisc/fr/inventions-public-domain.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ip-development/fr/agenda/recommendations.html" TargetMode="External"/><Relationship Id="rId5" Type="http://schemas.openxmlformats.org/officeDocument/2006/relationships/webSettings" Target="webSettings.xml"/><Relationship Id="rId15" Type="http://schemas.openxmlformats.org/officeDocument/2006/relationships/hyperlink" Target="https://www.wipo.int/tisc/fr/inventions-public-domain.html" TargetMode="External"/><Relationship Id="rId10" Type="http://schemas.openxmlformats.org/officeDocument/2006/relationships/hyperlink" Target="https://www.wipo.int/meetings/en/doc_details.jsp?doc_id=55208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eetings/fr/doc_details.jsp?doc_id=58274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11</TotalTime>
  <Pages>11</Pages>
  <Words>3376</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CDIP/32/5</vt:lpstr>
    </vt:vector>
  </TitlesOfParts>
  <Company>WIPO</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CDIP/32/5</dc:title>
  <dc:creator>LE GUEN Haude</dc:creator>
  <cp:keywords>FOR OFFICIAL USE ONLY</cp:keywords>
  <cp:lastModifiedBy>PANAKAL Joseph Lazar</cp:lastModifiedBy>
  <cp:revision>3</cp:revision>
  <cp:lastPrinted>2011-05-19T12:37:00Z</cp:lastPrinted>
  <dcterms:created xsi:type="dcterms:W3CDTF">2024-02-27T09:10:00Z</dcterms:created>
  <dcterms:modified xsi:type="dcterms:W3CDTF">2024-02-27T09:44:00Z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