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BE2" w14:textId="77777777" w:rsidR="008B2CC1" w:rsidRPr="008B2CC1" w:rsidRDefault="00472A6E" w:rsidP="00762AC6">
      <w:pPr>
        <w:pBdr>
          <w:bottom w:val="single" w:sz="4" w:space="11" w:color="auto"/>
        </w:pBdr>
        <w:spacing w:after="120"/>
        <w:ind w:right="-57"/>
        <w:jc w:val="right"/>
      </w:pPr>
      <w:r>
        <w:rPr>
          <w:noProof/>
        </w:rPr>
        <w:drawing>
          <wp:inline distT="0" distB="0" distL="0" distR="0" wp14:anchorId="6FD5478C" wp14:editId="6426B26E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1ED8" w14:textId="0FF53FE8" w:rsidR="00472A6E" w:rsidRDefault="009C0927" w:rsidP="00472A6E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>9</w:t>
      </w:r>
      <w:r w:rsidR="004271CD">
        <w:rPr>
          <w:rFonts w:ascii="Arial Black" w:hAnsi="Arial Black"/>
          <w:caps/>
          <w:sz w:val="15"/>
        </w:rPr>
        <w:t xml:space="preserve"> REV.</w:t>
      </w:r>
    </w:p>
    <w:p w14:paraId="17E5141F" w14:textId="77777777" w:rsidR="008B2CC1" w:rsidRPr="008B2CC1" w:rsidRDefault="00472A6E" w:rsidP="00472A6E">
      <w:pPr>
        <w:jc w:val="right"/>
      </w:pPr>
      <w:r>
        <w:rPr>
          <w:rFonts w:ascii="Arial Black" w:hAnsi="Arial Black"/>
          <w:caps/>
          <w:sz w:val="15"/>
        </w:rPr>
        <w:t xml:space="preserve">ORIGINAL: </w:t>
      </w:r>
      <w:bookmarkStart w:id="1" w:name="Original"/>
      <w:r>
        <w:rPr>
          <w:rFonts w:ascii="Arial Black" w:hAnsi="Arial Black"/>
          <w:caps/>
          <w:sz w:val="15"/>
        </w:rPr>
        <w:t>INGLÉS</w:t>
      </w:r>
    </w:p>
    <w:bookmarkEnd w:id="1"/>
    <w:p w14:paraId="4A419FF6" w14:textId="4EC3B38B"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4271CD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 xml:space="preserve"> DE </w:t>
      </w:r>
      <w:r w:rsidR="004271CD">
        <w:rPr>
          <w:rFonts w:ascii="Arial Black" w:hAnsi="Arial Black"/>
          <w:caps/>
          <w:sz w:val="15"/>
        </w:rPr>
        <w:t>dic</w:t>
      </w:r>
      <w:r>
        <w:rPr>
          <w:rFonts w:ascii="Arial Black" w:hAnsi="Arial Black"/>
          <w:caps/>
          <w:sz w:val="15"/>
        </w:rPr>
        <w:t>IEMBRE DE 2023</w:t>
      </w:r>
    </w:p>
    <w:bookmarkEnd w:id="2"/>
    <w:p w14:paraId="52A26AC5" w14:textId="77777777" w:rsidR="00B67CDC" w:rsidRPr="00BF5A8E" w:rsidRDefault="00762AC6" w:rsidP="00FB31F5">
      <w:pPr>
        <w:pStyle w:val="Heading1"/>
        <w:spacing w:before="0" w:after="600"/>
        <w:rPr>
          <w:sz w:val="28"/>
        </w:rPr>
      </w:pPr>
      <w:r>
        <w:rPr>
          <w:caps w:val="0"/>
          <w:sz w:val="28"/>
        </w:rPr>
        <w:t>Comité de Desarrollo y Propiedad Intelectual (CDIP)</w:t>
      </w:r>
    </w:p>
    <w:p w14:paraId="3BE6EF91" w14:textId="77777777" w:rsidR="005B2EAE" w:rsidRDefault="00DF13F9" w:rsidP="005B2EAE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Trigésima primera sesión</w:t>
      </w:r>
    </w:p>
    <w:p w14:paraId="25816C03" w14:textId="77777777" w:rsidR="00B67CDC" w:rsidRPr="00B67CDC" w:rsidRDefault="00DF13F9" w:rsidP="00472A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Ginebra, 27 de noviembre a 1 de diciembre de 2023</w:t>
      </w:r>
    </w:p>
    <w:p w14:paraId="71197CDD" w14:textId="60F7E06F" w:rsidR="008B2CC1" w:rsidRPr="003845C1" w:rsidRDefault="00580ECC" w:rsidP="00472A6E">
      <w:pPr>
        <w:spacing w:after="360"/>
        <w:rPr>
          <w:caps/>
          <w:sz w:val="24"/>
        </w:rPr>
      </w:pPr>
      <w:bookmarkStart w:id="3" w:name="TitleOfDoc"/>
      <w:r>
        <w:t>PROYECTO</w:t>
      </w:r>
      <w:r w:rsidR="004271CD">
        <w:t xml:space="preserve"> REVISADO </w:t>
      </w:r>
      <w:r>
        <w:t>SOBRE PROPIEDAD INTELECTUAL Y APROVECHAMIENTO DEL POTENCIAL DE LAS INDICACIONES GEOGRÁFICAS NO AGRÍCOLAS PARA EL EMPODERAMIENTO DE LAS COMUNIDADES LOCALES Y LA PRESERVACIÓN O LA RECUPERACIÓN DE LAS ARTES Y TRADICIONES LOCALES - PROPUESTA DE PROYECTO PRESENTADA POR LA INDIA</w:t>
      </w:r>
    </w:p>
    <w:p w14:paraId="79D818F3" w14:textId="70E84A0E" w:rsidR="008B2CC1" w:rsidRPr="008B2CC1" w:rsidRDefault="00580ECC" w:rsidP="00FB31F5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preparado por la Secretaría</w:t>
      </w:r>
    </w:p>
    <w:p w14:paraId="13AAB830" w14:textId="1E82638C" w:rsidR="00D66DFF" w:rsidRDefault="004271CD" w:rsidP="00580ECC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</w:pPr>
      <w:r w:rsidRPr="004271CD">
        <w:t>Durante la trigésima primera sesión del Comité de Desarrollo y Propiedad Intelectual</w:t>
      </w:r>
      <w:r>
        <w:t> </w:t>
      </w:r>
      <w:r w:rsidRPr="004271CD">
        <w:t>(CDIP), el Comité examinó</w:t>
      </w:r>
      <w:r w:rsidR="00580ECC">
        <w:t xml:space="preserve"> una propuesta de proyecto sobre “Propiedad intelectual y aprovechamiento del potencial de las indicaciones geográficas no agrícolas para el empoderamiento de las comunidades locales y la preservación o la recuperación de las artes y tradiciones locales”</w:t>
      </w:r>
      <w:r>
        <w:t>,</w:t>
      </w:r>
      <w:r w:rsidR="00FD69C7">
        <w:t xml:space="preserve"> </w:t>
      </w:r>
      <w:r w:rsidRPr="004271CD">
        <w:t>presentad</w:t>
      </w:r>
      <w:r>
        <w:t>a</w:t>
      </w:r>
      <w:r w:rsidRPr="004271CD">
        <w:t xml:space="preserve"> por la India. A partir de los comentarios formulados durante los debates, se revisó dicha propuesta de proyecto durante la sesión.</w:t>
      </w:r>
    </w:p>
    <w:p w14:paraId="673C543F" w14:textId="21A304BE" w:rsidR="00580ECC" w:rsidRPr="00AF5BFB" w:rsidRDefault="004271CD" w:rsidP="00580ECC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  <w:rPr>
          <w:sz w:val="24"/>
        </w:rPr>
      </w:pPr>
      <w:r w:rsidRPr="004271CD">
        <w:t xml:space="preserve">La propuesta de proyecto revisada figura en los </w:t>
      </w:r>
      <w:r w:rsidR="00580ECC">
        <w:t>Anexos de</w:t>
      </w:r>
      <w:r w:rsidR="007B257C">
        <w:t xml:space="preserve">l presente </w:t>
      </w:r>
      <w:r w:rsidR="00580ECC">
        <w:t>documento.</w:t>
      </w:r>
    </w:p>
    <w:p w14:paraId="1078D061" w14:textId="77777777" w:rsidR="00580ECC" w:rsidRPr="00714FFA" w:rsidRDefault="00580ECC" w:rsidP="00580ECC">
      <w:pPr>
        <w:pStyle w:val="ListParagraph"/>
        <w:widowControl/>
        <w:numPr>
          <w:ilvl w:val="0"/>
          <w:numId w:val="20"/>
        </w:numPr>
        <w:autoSpaceDE/>
        <w:autoSpaceDN/>
        <w:spacing w:after="720"/>
        <w:ind w:left="5530" w:firstLine="0"/>
        <w:rPr>
          <w:i/>
          <w:sz w:val="24"/>
        </w:rPr>
      </w:pPr>
      <w:r>
        <w:rPr>
          <w:i/>
        </w:rPr>
        <w:t xml:space="preserve">Se invita al Comité a </w:t>
      </w:r>
      <w:r>
        <w:rPr>
          <w:rStyle w:val="ONUMFSChar"/>
        </w:rPr>
        <w:t>examinar los Anexos del presente documento.</w:t>
      </w:r>
    </w:p>
    <w:p w14:paraId="05DEC467" w14:textId="33D0BD64" w:rsidR="00580ECC" w:rsidRDefault="00580ECC" w:rsidP="00580ECC">
      <w:pPr>
        <w:ind w:left="5533"/>
      </w:pPr>
      <w:r>
        <w:t>[Siguen los Anexos]</w:t>
      </w:r>
    </w:p>
    <w:p w14:paraId="4E214882" w14:textId="77777777" w:rsidR="00580ECC" w:rsidRDefault="00580ECC" w:rsidP="00580ECC">
      <w:pPr>
        <w:sectPr w:rsidR="00580ECC" w:rsidSect="00605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580ECC" w:rsidRPr="00F8661A" w14:paraId="64346CAA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6DE779B1" w14:textId="77777777" w:rsidR="00580ECC" w:rsidRPr="00F8661A" w:rsidRDefault="00580ECC" w:rsidP="00767F0D">
            <w:pPr>
              <w:widowControl w:val="0"/>
              <w:autoSpaceDE w:val="0"/>
              <w:autoSpaceDN w:val="0"/>
              <w:spacing w:line="234" w:lineRule="exact"/>
              <w:ind w:left="463" w:right="87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1. INTRODUCCIÓN AL PROYECTO</w:t>
            </w:r>
          </w:p>
        </w:tc>
      </w:tr>
      <w:tr w:rsidR="00580ECC" w:rsidRPr="00F8661A" w14:paraId="2203BBAE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A39AF37" w14:textId="77777777" w:rsidR="00580ECC" w:rsidRPr="00557B66" w:rsidRDefault="00580ECC" w:rsidP="00767F0D">
            <w:pPr>
              <w:pStyle w:val="ListParagraph"/>
              <w:numPr>
                <w:ilvl w:val="1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Código del proyecto</w:t>
            </w:r>
          </w:p>
        </w:tc>
      </w:tr>
      <w:tr w:rsidR="00580ECC" w:rsidRPr="00F8661A" w14:paraId="3863C728" w14:textId="77777777" w:rsidTr="00767F0D">
        <w:trPr>
          <w:trHeight w:val="364"/>
        </w:trPr>
        <w:tc>
          <w:tcPr>
            <w:tcW w:w="9352" w:type="dxa"/>
            <w:gridSpan w:val="2"/>
          </w:tcPr>
          <w:p w14:paraId="0443CEDE" w14:textId="77777777" w:rsidR="00580ECC" w:rsidRPr="00F8661A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/>
              <w:jc w:val="center"/>
              <w:rPr>
                <w:rFonts w:eastAsia="Arial"/>
              </w:rPr>
            </w:pPr>
            <w:r>
              <w:t>DA_01_04_11_34_35_37_1</w:t>
            </w:r>
          </w:p>
        </w:tc>
      </w:tr>
      <w:tr w:rsidR="00580ECC" w:rsidRPr="00F8661A" w14:paraId="25AA8C2B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6DC1F52" w14:textId="77777777" w:rsidR="00580ECC" w:rsidRPr="00F8661A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Título del proyecto</w:t>
            </w:r>
          </w:p>
        </w:tc>
      </w:tr>
      <w:tr w:rsidR="00580ECC" w:rsidRPr="005D72F4" w14:paraId="3D503982" w14:textId="77777777" w:rsidTr="00767F0D">
        <w:trPr>
          <w:trHeight w:val="805"/>
        </w:trPr>
        <w:tc>
          <w:tcPr>
            <w:tcW w:w="9352" w:type="dxa"/>
            <w:gridSpan w:val="2"/>
          </w:tcPr>
          <w:p w14:paraId="1AD01F5F" w14:textId="0D7AF41C" w:rsidR="00580ECC" w:rsidRPr="005D72F4" w:rsidRDefault="006922CC" w:rsidP="00767F0D">
            <w:pPr>
              <w:pStyle w:val="TableParagraph"/>
              <w:spacing w:before="120" w:after="120"/>
              <w:ind w:right="72"/>
              <w:jc w:val="center"/>
            </w:pPr>
            <w:r>
              <w:t>P</w:t>
            </w:r>
            <w:r w:rsidR="00580ECC">
              <w:t>ropiedad intelectual y aprovechamiento del potencial de las indicaciones geográficas no agrícolas para el empoderamiento de las comunidades locales y la preservación o la recuperación de las artes y tradiciones locales</w:t>
            </w:r>
          </w:p>
        </w:tc>
      </w:tr>
      <w:tr w:rsidR="00580ECC" w:rsidRPr="005D72F4" w14:paraId="25225B02" w14:textId="77777777" w:rsidTr="00767F0D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49BAFA55" w14:textId="77777777" w:rsidR="00580ECC" w:rsidRPr="005D72F4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88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Recomendaciones de la Agenda para el Desarrollo</w:t>
            </w:r>
          </w:p>
        </w:tc>
      </w:tr>
      <w:tr w:rsidR="00580ECC" w:rsidRPr="005D72F4" w14:paraId="2FDEEF93" w14:textId="77777777" w:rsidTr="00767F0D">
        <w:trPr>
          <w:trHeight w:val="760"/>
        </w:trPr>
        <w:tc>
          <w:tcPr>
            <w:tcW w:w="9352" w:type="dxa"/>
            <w:gridSpan w:val="2"/>
          </w:tcPr>
          <w:p w14:paraId="320A242F" w14:textId="6CA7254C" w:rsidR="00580ECC" w:rsidRPr="005D72F4" w:rsidRDefault="00580ECC" w:rsidP="00767F0D">
            <w:pPr>
              <w:pStyle w:val="TableParagraph"/>
              <w:spacing w:before="120" w:after="120"/>
              <w:ind w:left="81" w:right="206"/>
            </w:pPr>
            <w:r>
              <w:rPr>
                <w:i/>
              </w:rPr>
              <w:t>Recomendación 1</w:t>
            </w:r>
            <w:r>
              <w:t>:</w:t>
            </w:r>
            <w:r w:rsidR="004A13D3">
              <w:t xml:space="preserve"> </w:t>
            </w:r>
            <w:r>
              <w:t>La asistencia técnica de la OMPI deberá, entre otras cosas, estar orientada a potenciar el desarrollo, obedecer a una demanda, ser transparente y tener en cuenta las prioridades y necesidades especiales de los países en desarrollo, especialmente las de los PMA, así como los distintos niveles de desarrollo de los Estados miembros; además, las actividades deberán incluir el calendario de ejecución respectivo. A este respecto, el diseño, los mecanismos de ejecución y los procesos de evaluación de los programas de asistencia técnica deberán estar adaptados a cada país.</w:t>
            </w:r>
          </w:p>
          <w:p w14:paraId="4A1AEB5A" w14:textId="61EB0572" w:rsidR="00580ECC" w:rsidRPr="005D72F4" w:rsidRDefault="00580ECC" w:rsidP="00767F0D">
            <w:pPr>
              <w:pStyle w:val="TableParagraph"/>
              <w:spacing w:before="120" w:after="120"/>
              <w:ind w:left="81" w:right="101"/>
            </w:pPr>
            <w:r>
              <w:rPr>
                <w:i/>
              </w:rPr>
              <w:t>Recomendación 4</w:t>
            </w:r>
            <w:r>
              <w:t>:</w:t>
            </w:r>
            <w:r w:rsidR="004A13D3">
              <w:t xml:space="preserve"> </w:t>
            </w:r>
            <w:r>
              <w:t>Destacar, en particular, las necesidades de las pymes y las instituciones de investigación científica, así como las industrias culturales, y asistir a los Estados miembros, cuando estos lo soliciten, en el establecimiento de estrategias nacionales adecuadas en el campo de la propiedad intelectual.</w:t>
            </w:r>
          </w:p>
          <w:p w14:paraId="05C3B217" w14:textId="09264712" w:rsidR="00580ECC" w:rsidRPr="005D72F4" w:rsidRDefault="00580ECC" w:rsidP="00767F0D">
            <w:pPr>
              <w:pStyle w:val="TableParagraph"/>
              <w:spacing w:before="120" w:after="120"/>
              <w:ind w:left="81" w:right="101"/>
            </w:pPr>
            <w:r>
              <w:rPr>
                <w:i/>
              </w:rPr>
              <w:t>Recomendación 11</w:t>
            </w:r>
            <w:r>
              <w:rPr>
                <w:rFonts w:ascii="Arial MT" w:hAnsi="Arial MT"/>
              </w:rPr>
              <w:t>:</w:t>
            </w:r>
            <w:r w:rsidR="004A13D3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Ayudar a los Estados miembros a fortalecer la capacidad nacional para la protección de las creaciones, las innovaciones y las invenciones, y fomentar el desarrollo de la infraestructura científica y tecnológica de los países, cuando sea necesario, con arreglo al mandato de la OMPI.</w:t>
            </w:r>
          </w:p>
          <w:p w14:paraId="3F93E064" w14:textId="20D833EF" w:rsidR="00580ECC" w:rsidRPr="005D72F4" w:rsidRDefault="00580ECC" w:rsidP="00767F0D">
            <w:pPr>
              <w:pStyle w:val="TableParagraph"/>
              <w:spacing w:before="120" w:after="120"/>
              <w:ind w:left="81" w:right="101"/>
            </w:pPr>
            <w:r>
              <w:rPr>
                <w:i/>
              </w:rPr>
              <w:t>Recomendación 34</w:t>
            </w:r>
            <w:r>
              <w:t>:</w:t>
            </w:r>
            <w:r w:rsidR="004A13D3">
              <w:t xml:space="preserve"> </w:t>
            </w:r>
            <w:r>
              <w:t>Con miras a asistir a los Estados miembros en la creación de programas nacionales esenciales, solicitar a la OMPI que efectúe un estudio de los obstáculos que se interponen a la protección de la PI en la economía informal, contemplando los costos y beneficios tangibles de la protección de la PI, en particular en lo que se refiere a la creación de empleo.</w:t>
            </w:r>
          </w:p>
          <w:p w14:paraId="27143379" w14:textId="2432F516" w:rsidR="00580ECC" w:rsidRPr="005D72F4" w:rsidRDefault="00580ECC" w:rsidP="00767F0D">
            <w:pPr>
              <w:pStyle w:val="TableParagraph"/>
              <w:spacing w:before="120" w:after="120"/>
              <w:ind w:left="81" w:right="186"/>
            </w:pPr>
            <w:r>
              <w:rPr>
                <w:i/>
              </w:rPr>
              <w:t>Recomendación 35</w:t>
            </w:r>
            <w:r>
              <w:t>:</w:t>
            </w:r>
            <w:r w:rsidR="004A13D3">
              <w:t xml:space="preserve"> </w:t>
            </w:r>
            <w:r>
              <w:t>Solicitar a la OMPI que emprenda, a petición de los Estados miembros, nuevos estudios destinados a evaluar las consecuencias económicas, sociales y culturales de la utilización de sistemas de PI en dichos Estados.</w:t>
            </w:r>
          </w:p>
          <w:p w14:paraId="4D0765F3" w14:textId="27CB14D3" w:rsidR="00580ECC" w:rsidRPr="005D72F4" w:rsidRDefault="00580ECC" w:rsidP="00767F0D">
            <w:pPr>
              <w:pStyle w:val="TableParagraph"/>
              <w:spacing w:before="120" w:after="120"/>
              <w:ind w:left="81" w:right="186"/>
            </w:pPr>
            <w:r>
              <w:rPr>
                <w:i/>
              </w:rPr>
              <w:t>Recomendación 37</w:t>
            </w:r>
            <w:r>
              <w:t>:</w:t>
            </w:r>
            <w:r w:rsidR="004A13D3">
              <w:t xml:space="preserve"> </w:t>
            </w:r>
            <w:r>
              <w:t>La OMPI podrá efectuar estudios, a petición de los interesados y conforme a lo dispuesto por los Estados miembros, sobre la protección de la propiedad intelectual, a fin de determinar los posibles vínculos y los efectos entre la PI y el desarrollo.</w:t>
            </w:r>
          </w:p>
        </w:tc>
      </w:tr>
      <w:tr w:rsidR="00580ECC" w:rsidRPr="005D72F4" w14:paraId="1DE18B86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6999B25" w14:textId="77777777" w:rsidR="00580ECC" w:rsidRPr="005D72F4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Duración del proyecto</w:t>
            </w:r>
          </w:p>
        </w:tc>
      </w:tr>
      <w:tr w:rsidR="00580ECC" w:rsidRPr="005D72F4" w14:paraId="023B3CE3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70B2462E" w14:textId="77777777" w:rsidR="00580ECC" w:rsidRPr="005D72F4" w:rsidRDefault="00580ECC" w:rsidP="00767F0D">
            <w:pPr>
              <w:widowControl w:val="0"/>
              <w:autoSpaceDE w:val="0"/>
              <w:autoSpaceDN w:val="0"/>
              <w:spacing w:before="120" w:after="120" w:line="240" w:lineRule="exact"/>
              <w:ind w:left="461" w:right="86"/>
              <w:jc w:val="center"/>
              <w:rPr>
                <w:rFonts w:eastAsia="Arial"/>
              </w:rPr>
            </w:pPr>
            <w:r>
              <w:t>36 meses</w:t>
            </w:r>
          </w:p>
        </w:tc>
      </w:tr>
      <w:tr w:rsidR="00580ECC" w:rsidRPr="005D72F4" w14:paraId="2C5AAC9F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59B92C7" w14:textId="77777777" w:rsidR="00580ECC" w:rsidRPr="005D72F4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Presupuesto del proyecto</w:t>
            </w:r>
          </w:p>
        </w:tc>
      </w:tr>
      <w:tr w:rsidR="00580ECC" w:rsidRPr="005D72F4" w14:paraId="7D6697C0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D9D0F74" w14:textId="77777777" w:rsidR="00580ECC" w:rsidRPr="00D44A76" w:rsidRDefault="00580ECC" w:rsidP="00767F0D">
            <w:pPr>
              <w:widowControl w:val="0"/>
              <w:autoSpaceDE w:val="0"/>
              <w:autoSpaceDN w:val="0"/>
              <w:spacing w:before="120" w:after="120" w:line="240" w:lineRule="exact"/>
              <w:ind w:left="120" w:right="86"/>
            </w:pPr>
            <w:r>
              <w:t>El presupuesto total del proyecto asciende a 575 300 francos suizos destinados en su totalidad a gastos no relativos a personal.</w:t>
            </w:r>
          </w:p>
        </w:tc>
      </w:tr>
      <w:tr w:rsidR="00580ECC" w:rsidRPr="005D72F4" w14:paraId="05A404D9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3D88CF2" w14:textId="77777777" w:rsidR="00580ECC" w:rsidRPr="000A74E4" w:rsidRDefault="00580ECC" w:rsidP="00767F0D">
            <w:pPr>
              <w:pStyle w:val="ListParagraph"/>
              <w:numPr>
                <w:ilvl w:val="0"/>
                <w:numId w:val="7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Descripción del proyecto</w:t>
            </w:r>
          </w:p>
        </w:tc>
      </w:tr>
      <w:tr w:rsidR="00580ECC" w:rsidRPr="005D72F4" w14:paraId="16550FBB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05A9FA6" w14:textId="07E4B5D6" w:rsidR="00580ECC" w:rsidRDefault="00580ECC" w:rsidP="00767F0D">
            <w:pPr>
              <w:spacing w:line="232" w:lineRule="exact"/>
              <w:ind w:left="119" w:right="90"/>
            </w:pPr>
            <w:r>
              <w:t xml:space="preserve">Una indicación geográfica (IG) es </w:t>
            </w:r>
            <w:r w:rsidR="00CE3A21" w:rsidRPr="00CE3A21">
              <w:t xml:space="preserve">una indicación que reconoce un producto como originario del territorio de un país, o de una región o localidad de ese territorio, cuando determinada calidad, la </w:t>
            </w:r>
            <w:r w:rsidR="00B946A9">
              <w:t>r</w:t>
            </w:r>
            <w:r w:rsidR="00CE3A21" w:rsidRPr="00CE3A21">
              <w:t>eputación u otra característica del producto puede atribuirse fundamentalmente a su origen geográfico.</w:t>
            </w:r>
          </w:p>
          <w:p w14:paraId="2FAB5A3A" w14:textId="6E3FF8E3" w:rsidR="00580ECC" w:rsidRDefault="00580ECC" w:rsidP="00767F0D">
            <w:pPr>
              <w:spacing w:before="120" w:after="120"/>
              <w:ind w:left="97"/>
            </w:pPr>
            <w:r>
              <w:t>La protección de una IG garantiza a los productores una competencia leal, proporciona a los consumidores información fiable sobre el lugar de producción o las características específicas de un producto, y ayuda a las regiones a atraer turistas.</w:t>
            </w:r>
            <w:r w:rsidR="004A13D3">
              <w:t xml:space="preserve"> </w:t>
            </w:r>
            <w:r>
              <w:t xml:space="preserve">La protección que ofrecen las IG </w:t>
            </w:r>
            <w:r>
              <w:lastRenderedPageBreak/>
              <w:t xml:space="preserve">contribuye a preservar los productos tradicionales de alta calidad y los conocimientos </w:t>
            </w:r>
            <w:r w:rsidR="00A34E3E">
              <w:t>técnicos</w:t>
            </w:r>
            <w:r>
              <w:t xml:space="preserve">, así como los puestos de trabajo </w:t>
            </w:r>
            <w:r w:rsidR="00FC57E6">
              <w:t>conexos</w:t>
            </w:r>
            <w:r>
              <w:t>.</w:t>
            </w:r>
            <w:r w:rsidR="004A13D3">
              <w:t xml:space="preserve"> </w:t>
            </w:r>
            <w:r>
              <w:t xml:space="preserve">La protección de las IG es especialmente importante para los productores regionales y el valor </w:t>
            </w:r>
            <w:r w:rsidR="0082192D">
              <w:t>que genera</w:t>
            </w:r>
            <w:r>
              <w:t xml:space="preserve"> es a menudo la principal fuente de ingresos de la población local.</w:t>
            </w:r>
          </w:p>
          <w:p w14:paraId="5BB14261" w14:textId="34D8EF95" w:rsidR="00580ECC" w:rsidRDefault="00580ECC" w:rsidP="00767F0D">
            <w:pPr>
              <w:spacing w:before="120" w:after="120"/>
              <w:ind w:left="97"/>
            </w:pPr>
            <w:r>
              <w:t>Las IG gozan de un amplio reconocimiento y se aplican a los productos agrícolas y alimenticios debido al vínculo inherente que tienen con la tierra.</w:t>
            </w:r>
            <w:r w:rsidR="004A13D3">
              <w:t xml:space="preserve"> </w:t>
            </w:r>
            <w:r>
              <w:t xml:space="preserve">Sin embargo, las mismas raíces geográficas y las habilidades locales se aplican también a los productos no agrícolas, </w:t>
            </w:r>
            <w:r w:rsidR="00F12F2F">
              <w:t>en particular a</w:t>
            </w:r>
            <w:r>
              <w:t xml:space="preserve"> la artesanía y las manufacturas.</w:t>
            </w:r>
            <w:r w:rsidR="004A13D3">
              <w:t xml:space="preserve"> </w:t>
            </w:r>
            <w:r>
              <w:t>El producto resultante no solo está determinado por las materias primas</w:t>
            </w:r>
            <w:r w:rsidR="00E86051">
              <w:t xml:space="preserve"> </w:t>
            </w:r>
            <w:r w:rsidR="007E1EE1">
              <w:t xml:space="preserve">que tienen un </w:t>
            </w:r>
            <w:r>
              <w:t>origen geográfico</w:t>
            </w:r>
            <w:r w:rsidR="007E1EE1">
              <w:t xml:space="preserve"> </w:t>
            </w:r>
            <w:r w:rsidR="002D7AD4">
              <w:t>concreto</w:t>
            </w:r>
            <w:r>
              <w:t>, sino también por los conocimientos locales y los métodos tradicionales de producción.</w:t>
            </w:r>
          </w:p>
          <w:p w14:paraId="268DE4E7" w14:textId="77777777" w:rsidR="00D66DFF" w:rsidRDefault="00580ECC" w:rsidP="00767F0D">
            <w:pPr>
              <w:spacing w:before="120" w:after="120"/>
              <w:ind w:left="97"/>
            </w:pPr>
            <w:r>
              <w:t xml:space="preserve">El objetivo de este proyecto es estudiar el impacto multifactorial de las IG no agrícolas en las comunidades locales de la India y de otros países seleccionados según los criterios de selección que figuran </w:t>
            </w:r>
            <w:r w:rsidR="00E37276">
              <w:t>más abajo</w:t>
            </w:r>
            <w:r>
              <w:t>.</w:t>
            </w:r>
            <w:r w:rsidR="004A13D3">
              <w:t xml:space="preserve"> </w:t>
            </w:r>
            <w:r>
              <w:t xml:space="preserve">Además, </w:t>
            </w:r>
            <w:r w:rsidR="005143C2">
              <w:t>con el fin de</w:t>
            </w:r>
            <w:r>
              <w:t xml:space="preserve"> subsanar los déficits de información de que adolecen las partes interesadas de los sectores público y privado, el proyecto identificará las mejores prácticas y las enseñanzas extraídas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  <w:r w:rsidR="004A13D3">
              <w:t xml:space="preserve"> </w:t>
            </w:r>
            <w:r>
              <w:t>Además, se elaborarán estudios de caso sobre la valorización, protección, promoción y preservación de las IG de productos no agrícolas.</w:t>
            </w:r>
          </w:p>
          <w:p w14:paraId="21087E01" w14:textId="2957C0D8" w:rsidR="00580ECC" w:rsidRDefault="00580ECC" w:rsidP="00767F0D">
            <w:pPr>
              <w:spacing w:before="120" w:after="120"/>
              <w:ind w:left="97"/>
            </w:pPr>
            <w:r>
              <w:t>El proyecto trabajará con las partes interesadas a nivel nacional y local para comprender y aprovechar el potencial de las IG no agrícolas en la promoción del desarrollo sostenible local y el empoderamiento de las comunidades locales.</w:t>
            </w:r>
            <w:r w:rsidR="004A13D3">
              <w:t xml:space="preserve"> </w:t>
            </w:r>
            <w:r>
              <w:t xml:space="preserve">Se organizará un taller inicial con el fin de elaborar </w:t>
            </w:r>
            <w:r w:rsidR="00F1092A">
              <w:t>una</w:t>
            </w:r>
            <w:r>
              <w:t xml:space="preserve"> metodología </w:t>
            </w:r>
            <w:r w:rsidR="00F1092A">
              <w:t xml:space="preserve">para </w:t>
            </w:r>
            <w:r>
              <w:t>el estudio y fomentar el intercambio de conocimientos y la colaboración entre las diversas partes interesadas.</w:t>
            </w:r>
            <w:r w:rsidR="004A13D3">
              <w:t xml:space="preserve"> </w:t>
            </w:r>
            <w:r>
              <w:t>Una vez concluido el estudio, se organizará una conferencia para debatir y difundir los resultados.</w:t>
            </w:r>
          </w:p>
          <w:p w14:paraId="5DD6BDF5" w14:textId="77777777" w:rsidR="00580ECC" w:rsidRDefault="00580ECC" w:rsidP="00767F0D">
            <w:pPr>
              <w:spacing w:before="120" w:after="120"/>
              <w:ind w:left="119" w:right="181"/>
            </w:pPr>
            <w:r>
              <w:t>El proyecto estudiará la situación en la India y en un máximo de otros tres países piloto, situados en distintas regiones, con el fin de comprender claramente la protección que se ofrece a las IG no agrícolas, en cada país.</w:t>
            </w:r>
          </w:p>
          <w:p w14:paraId="124258CB" w14:textId="7F646BD9" w:rsidR="00580ECC" w:rsidRPr="000A74E4" w:rsidRDefault="00580ECC" w:rsidP="00767F0D">
            <w:pPr>
              <w:spacing w:before="120" w:after="120"/>
              <w:ind w:left="119" w:right="90"/>
            </w:pPr>
            <w:r>
              <w:t>Los resultados del estudio podrían utilizarse en una fase posterior para ayudar a cuatro países piloto, incluida la India, a promover, proteger y comercializar las IG no agrícolas para el empoderamiento de las comunidades locales y la preservación o la recuperación de las artes y tradiciones locales, según el caso.</w:t>
            </w:r>
            <w:r w:rsidR="004A13D3">
              <w:t xml:space="preserve"> </w:t>
            </w:r>
          </w:p>
        </w:tc>
      </w:tr>
      <w:tr w:rsidR="00580ECC" w:rsidRPr="005D72F4" w14:paraId="0DCE8091" w14:textId="77777777" w:rsidTr="00767F0D">
        <w:trPr>
          <w:trHeight w:val="278"/>
        </w:trPr>
        <w:tc>
          <w:tcPr>
            <w:tcW w:w="9352" w:type="dxa"/>
            <w:gridSpan w:val="2"/>
            <w:shd w:val="clear" w:color="auto" w:fill="00FFCC"/>
          </w:tcPr>
          <w:p w14:paraId="5849444F" w14:textId="77777777" w:rsidR="00580ECC" w:rsidRPr="005D72F4" w:rsidRDefault="00580ECC" w:rsidP="00767F0D">
            <w:pPr>
              <w:widowControl w:val="0"/>
              <w:autoSpaceDE w:val="0"/>
              <w:autoSpaceDN w:val="0"/>
              <w:spacing w:line="240" w:lineRule="exact"/>
              <w:ind w:left="115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2.1. Concepto del proyecto</w:t>
            </w:r>
          </w:p>
        </w:tc>
      </w:tr>
      <w:tr w:rsidR="00580ECC" w:rsidRPr="005D72F4" w14:paraId="5CF01255" w14:textId="77777777" w:rsidTr="00767F0D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4626E370" w14:textId="15BDDC42" w:rsidR="00580ECC" w:rsidRPr="00AA2118" w:rsidRDefault="00580ECC" w:rsidP="00767F0D">
            <w:pPr>
              <w:pStyle w:val="TableParagraph"/>
              <w:spacing w:before="120" w:after="120"/>
              <w:ind w:left="101"/>
            </w:pPr>
            <w:r>
              <w:t xml:space="preserve">El proyecto propuesto abarcará la elaboración de un estudio </w:t>
            </w:r>
            <w:r w:rsidR="0091506F">
              <w:t>con el fin de</w:t>
            </w:r>
            <w:r>
              <w:t xml:space="preserve"> determinar el impacto multifactorial de la protección de </w:t>
            </w:r>
            <w:r w:rsidR="00D87E9E">
              <w:t xml:space="preserve">las IG para </w:t>
            </w:r>
            <w:r>
              <w:t>productos no agrícolas sobre la base de una selección de estudios de caso</w:t>
            </w:r>
            <w:r w:rsidR="0091506F">
              <w:t>,</w:t>
            </w:r>
            <w:r>
              <w:t xml:space="preserve"> </w:t>
            </w:r>
            <w:r w:rsidR="0091506F">
              <w:t>y de</w:t>
            </w:r>
            <w:r>
              <w:t xml:space="preserve"> identificar las mejores prácticas, experiencias positivas, desafíos y oportunidades asociados a las IG no agrícolas </w:t>
            </w:r>
            <w:r w:rsidR="00EA5E36">
              <w:t xml:space="preserve">para </w:t>
            </w:r>
            <w:r w:rsidR="00146633">
              <w:t xml:space="preserve">que </w:t>
            </w:r>
            <w:r>
              <w:t>los encargados de formular políticas y las partes interesadas</w:t>
            </w:r>
            <w:r w:rsidR="002C0DF5">
              <w:t xml:space="preserve"> </w:t>
            </w:r>
            <w:r w:rsidR="00146633">
              <w:t>puedan tener</w:t>
            </w:r>
            <w:r w:rsidR="002C0DF5">
              <w:t xml:space="preserve"> en cuentan estos aspectos</w:t>
            </w:r>
            <w:r>
              <w:t>.</w:t>
            </w:r>
          </w:p>
        </w:tc>
      </w:tr>
      <w:tr w:rsidR="00580ECC" w:rsidRPr="005D72F4" w14:paraId="65828D5D" w14:textId="77777777" w:rsidTr="00767F0D">
        <w:trPr>
          <w:trHeight w:val="346"/>
        </w:trPr>
        <w:tc>
          <w:tcPr>
            <w:tcW w:w="9352" w:type="dxa"/>
            <w:gridSpan w:val="2"/>
            <w:shd w:val="clear" w:color="auto" w:fill="00FFCC"/>
          </w:tcPr>
          <w:p w14:paraId="00FC2E22" w14:textId="77777777" w:rsidR="00580ECC" w:rsidRPr="00F41A8F" w:rsidRDefault="00580ECC" w:rsidP="00767F0D">
            <w:pPr>
              <w:widowControl w:val="0"/>
              <w:autoSpaceDE w:val="0"/>
              <w:autoSpaceDN w:val="0"/>
              <w:ind w:left="115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2.2. Objetivos, efectos directos y productos</w:t>
            </w:r>
          </w:p>
        </w:tc>
      </w:tr>
      <w:tr w:rsidR="00580ECC" w:rsidRPr="005D72F4" w14:paraId="30C2F878" w14:textId="77777777" w:rsidTr="00767F0D">
        <w:trPr>
          <w:trHeight w:val="256"/>
        </w:trPr>
        <w:tc>
          <w:tcPr>
            <w:tcW w:w="9352" w:type="dxa"/>
            <w:gridSpan w:val="2"/>
          </w:tcPr>
          <w:p w14:paraId="5C761FC5" w14:textId="77777777" w:rsidR="00580ECC" w:rsidRPr="005D72F4" w:rsidRDefault="00580ECC" w:rsidP="00767F0D">
            <w:pPr>
              <w:pStyle w:val="TableParagraph"/>
              <w:spacing w:before="120" w:after="120"/>
              <w:ind w:left="120" w:right="65"/>
            </w:pPr>
            <w:r>
              <w:t xml:space="preserve">El </w:t>
            </w:r>
            <w:r>
              <w:rPr>
                <w:b/>
              </w:rPr>
              <w:t>objetivo</w:t>
            </w:r>
            <w:r>
              <w:t xml:space="preserve"> general del proyecto es comprender mejor el impacto multifactorial de las IG no agrícolas en las comunidades locales y en la preservación o la recuperación de las artes y tradiciones locales con miras a </w:t>
            </w:r>
            <w:r>
              <w:rPr>
                <w:color w:val="000000" w:themeColor="text1"/>
              </w:rPr>
              <w:t xml:space="preserve">desarrollar y aplicar un </w:t>
            </w:r>
            <w:r>
              <w:t>ecosistema propicio para la protección y el uso comercial de las IG no agrícolas.</w:t>
            </w:r>
          </w:p>
          <w:p w14:paraId="3AADBEF4" w14:textId="3CD56568" w:rsidR="00580ECC" w:rsidRPr="00E24D8B" w:rsidRDefault="00580ECC" w:rsidP="00767F0D">
            <w:pPr>
              <w:spacing w:before="120" w:after="120"/>
              <w:ind w:left="120" w:right="230"/>
            </w:pPr>
            <w:r>
              <w:t xml:space="preserve">Más específicamente, </w:t>
            </w:r>
            <w:r w:rsidR="002B435F">
              <w:t xml:space="preserve">el proyecto prevé </w:t>
            </w:r>
            <w:r w:rsidR="00A67595">
              <w:t xml:space="preserve">tener </w:t>
            </w:r>
            <w:r w:rsidR="002B435F">
              <w:t xml:space="preserve">los siguientes </w:t>
            </w:r>
            <w:r>
              <w:rPr>
                <w:b/>
              </w:rPr>
              <w:t>efectos directo</w:t>
            </w:r>
            <w:r w:rsidR="002B435F">
              <w:rPr>
                <w:b/>
              </w:rPr>
              <w:t>s</w:t>
            </w:r>
            <w:r>
              <w:t>:</w:t>
            </w:r>
          </w:p>
          <w:p w14:paraId="3683702E" w14:textId="0BE317EE" w:rsidR="00580ECC" w:rsidRPr="00E24D8B" w:rsidRDefault="00101B42" w:rsidP="00767F0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20" w:after="120"/>
              <w:ind w:left="839" w:right="230"/>
              <w:contextualSpacing/>
            </w:pPr>
            <w:r>
              <w:t>m</w:t>
            </w:r>
            <w:r w:rsidR="00580ECC">
              <w:t xml:space="preserve">ayor concienciación entre las partes interesadas de todo el mundo en los sectores público y privado sobre el impacto multifactorial de las IG no agrícolas en las comunidades locales y en la preservación o la recuperación de las artes y tradiciones locales, según el caso; </w:t>
            </w:r>
            <w:r w:rsidR="00BC346C">
              <w:t>e</w:t>
            </w:r>
          </w:p>
          <w:p w14:paraId="6B7370DF" w14:textId="6914BD13" w:rsidR="00580ECC" w:rsidRPr="00E24D8B" w:rsidRDefault="00101B42" w:rsidP="00767F0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20" w:after="120"/>
              <w:ind w:left="839" w:right="230"/>
              <w:contextualSpacing/>
              <w:jc w:val="both"/>
            </w:pPr>
            <w:r>
              <w:lastRenderedPageBreak/>
              <w:t>i</w:t>
            </w:r>
            <w:r w:rsidR="00580ECC">
              <w:t>ntercambio de información y colaboración entre países para estimular el crecimiento mundial.</w:t>
            </w:r>
          </w:p>
          <w:p w14:paraId="46BE04E3" w14:textId="77777777" w:rsidR="00580ECC" w:rsidRPr="009E4880" w:rsidRDefault="00580ECC" w:rsidP="00767F0D">
            <w:pPr>
              <w:spacing w:before="120" w:after="120"/>
              <w:ind w:left="120" w:right="230"/>
              <w:contextualSpacing/>
              <w:jc w:val="both"/>
            </w:pPr>
            <w:r>
              <w:t xml:space="preserve">El proyecto entregará los siguientes </w:t>
            </w:r>
            <w:r>
              <w:rPr>
                <w:b/>
              </w:rPr>
              <w:t>productos</w:t>
            </w:r>
            <w:r>
              <w:t>:</w:t>
            </w:r>
          </w:p>
          <w:p w14:paraId="02CE4545" w14:textId="3FE63447" w:rsidR="00580ECC" w:rsidRDefault="00580ECC" w:rsidP="00767F0D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Producto 1:</w:t>
            </w:r>
            <w:r w:rsidR="004A13D3">
              <w:t xml:space="preserve"> </w:t>
            </w:r>
            <w:r>
              <w:t>Elaboración de una metodología para emprender un estudio sobre el impacto multifactorial de las IG no agrícolas en las comunidades locales y en la preservación o la recuperación de las artes y tradiciones locales.</w:t>
            </w:r>
          </w:p>
          <w:p w14:paraId="3E442283" w14:textId="5AAEFD69" w:rsidR="00580ECC" w:rsidRDefault="00580ECC" w:rsidP="00767F0D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Producto 2:</w:t>
            </w:r>
            <w:r w:rsidR="004A13D3">
              <w:t xml:space="preserve"> </w:t>
            </w:r>
            <w:r>
              <w:t>Elaboración de estudios de caso sobre el impacto de las IG no agrícolas en las comunidades locales y en la preservación o la recuperación de las artes y tradiciones locales, según el caso, en los países seleccionados.</w:t>
            </w:r>
          </w:p>
          <w:p w14:paraId="56ECC924" w14:textId="65132F3C" w:rsidR="00580ECC" w:rsidRPr="00AE04BA" w:rsidRDefault="00580ECC" w:rsidP="00767F0D">
            <w:pPr>
              <w:pStyle w:val="TableParagraph"/>
              <w:spacing w:before="120" w:after="120"/>
              <w:ind w:left="120" w:right="175"/>
              <w:rPr>
                <w:iCs/>
              </w:rPr>
            </w:pPr>
            <w:r>
              <w:t>Producto 3:</w:t>
            </w:r>
            <w:r w:rsidR="004A13D3">
              <w:t xml:space="preserve"> </w:t>
            </w:r>
            <w:r>
              <w:t xml:space="preserve">Identificación de las mejores prácticas, enseñanzas extraídas, oportunidades y desafíos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54ED5AD8" w14:textId="4723AEE4" w:rsidR="00580ECC" w:rsidRPr="0031089B" w:rsidRDefault="00580ECC" w:rsidP="00767F0D">
            <w:pPr>
              <w:pStyle w:val="TableParagraph"/>
              <w:spacing w:before="120" w:after="120"/>
              <w:ind w:left="120" w:right="230"/>
              <w:rPr>
                <w:iCs/>
                <w:u w:val="single"/>
              </w:rPr>
            </w:pPr>
            <w:r>
              <w:t>Producto 4:</w:t>
            </w:r>
            <w:r w:rsidR="004A13D3">
              <w:t xml:space="preserve"> </w:t>
            </w:r>
            <w:r>
              <w:t>Obtención y difusión de los resultados del estudio y de las mejores prácticas identificadas para la aplicación eficaz de los regímenes de IG no agrícolas.</w:t>
            </w:r>
          </w:p>
        </w:tc>
      </w:tr>
      <w:tr w:rsidR="00580ECC" w:rsidRPr="005D72F4" w14:paraId="4BC8053C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2C2F1EE" w14:textId="77777777" w:rsidR="00580ECC" w:rsidRPr="005D72F4" w:rsidRDefault="00580ECC" w:rsidP="00767F0D">
            <w:pPr>
              <w:pStyle w:val="ListParagraph"/>
              <w:numPr>
                <w:ilvl w:val="1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Estrategia de ejecución</w:t>
            </w:r>
          </w:p>
        </w:tc>
      </w:tr>
      <w:tr w:rsidR="00580ECC" w:rsidRPr="005D72F4" w14:paraId="57C3AB85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537DBD77" w14:textId="77777777" w:rsidR="00580ECC" w:rsidRPr="00915C54" w:rsidRDefault="00580ECC" w:rsidP="00767F0D">
            <w:pPr>
              <w:pStyle w:val="TableParagraph"/>
              <w:spacing w:before="120" w:after="120"/>
              <w:ind w:left="81" w:right="141"/>
            </w:pPr>
            <w:r>
              <w:t>El proyecto pretende:</w:t>
            </w:r>
          </w:p>
          <w:p w14:paraId="19DA62F0" w14:textId="2BA049E9" w:rsidR="00580ECC" w:rsidRPr="00915C54" w:rsidRDefault="00101B42" w:rsidP="00767F0D">
            <w:pPr>
              <w:pStyle w:val="TableParagraph"/>
              <w:numPr>
                <w:ilvl w:val="0"/>
                <w:numId w:val="18"/>
              </w:numPr>
              <w:spacing w:before="120" w:after="120"/>
              <w:ind w:left="839" w:right="141"/>
            </w:pPr>
            <w:r>
              <w:t>e</w:t>
            </w:r>
            <w:r w:rsidR="00580ECC">
              <w:t>laborar una metodología para la evaluación del impacto multifactorial del uso de la</w:t>
            </w:r>
            <w:r w:rsidR="007D14F4">
              <w:t>s</w:t>
            </w:r>
            <w:r w:rsidR="00580ECC">
              <w:t xml:space="preserve"> IG para productos no agrícolas en las comunidades locales y en la preservación o la recuperación de las artes y tradiciones locales;</w:t>
            </w:r>
          </w:p>
          <w:p w14:paraId="6A124975" w14:textId="1B288715" w:rsidR="00580ECC" w:rsidRPr="00915C54" w:rsidRDefault="00101B42" w:rsidP="00767F0D">
            <w:pPr>
              <w:pStyle w:val="TableParagraph"/>
              <w:numPr>
                <w:ilvl w:val="0"/>
                <w:numId w:val="18"/>
              </w:numPr>
              <w:spacing w:before="120" w:after="120"/>
              <w:ind w:left="839" w:right="141"/>
            </w:pPr>
            <w:r>
              <w:t>e</w:t>
            </w:r>
            <w:r w:rsidR="00580ECC">
              <w:t>laborar estudios de caso en países seleccionados sobre la base de la política concebida para la valorización, protección, promoción y preservación de las IG para productos no agrícolas; e</w:t>
            </w:r>
          </w:p>
          <w:p w14:paraId="5A98F727" w14:textId="4337BDF4" w:rsidR="00580ECC" w:rsidRPr="00AA2118" w:rsidRDefault="00101B42" w:rsidP="00767F0D">
            <w:pPr>
              <w:pStyle w:val="TableParagraph"/>
              <w:numPr>
                <w:ilvl w:val="0"/>
                <w:numId w:val="18"/>
              </w:numPr>
              <w:spacing w:before="120" w:after="120"/>
              <w:ind w:left="839" w:right="141"/>
              <w:rPr>
                <w:color w:val="374151"/>
                <w:shd w:val="clear" w:color="auto" w:fill="F7F7F8"/>
              </w:rPr>
            </w:pPr>
            <w:r>
              <w:t>i</w:t>
            </w:r>
            <w:r w:rsidR="00580ECC">
              <w:t xml:space="preserve">dentificar las mejores prácticas, enseñanzas extraídas, oportunidades y desafíos </w:t>
            </w:r>
            <w:r w:rsidR="00923649">
              <w:t>con el fin de desarrollar y aplicar</w:t>
            </w:r>
            <w:r w:rsidR="00580ECC"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2852B439" w14:textId="77777777" w:rsidR="00D66DFF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El proyecto propuesto alcanzará sus objetivos mediante la elaboración de los siguientes productos:</w:t>
            </w:r>
          </w:p>
          <w:p w14:paraId="115F6FE7" w14:textId="2C9341DE" w:rsidR="00580ECC" w:rsidRPr="002A19B5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Producto 1:</w:t>
            </w:r>
            <w:r w:rsidR="004A13D3">
              <w:t xml:space="preserve"> </w:t>
            </w:r>
            <w:r>
              <w:t>Elaboración de una metodología para emprender un estudio sobre el impacto multifactorial de la utilización de las IG no agrícolas en las comunidades locales y en la preservación o la recuperación de las artes y tradiciones locales.</w:t>
            </w:r>
          </w:p>
          <w:p w14:paraId="15549B1B" w14:textId="77777777" w:rsidR="00580ECC" w:rsidRPr="002A19B5" w:rsidRDefault="00580ECC" w:rsidP="00767F0D">
            <w:pPr>
              <w:pStyle w:val="TableParagraph"/>
              <w:spacing w:before="120" w:after="120"/>
              <w:ind w:left="119" w:right="141"/>
              <w:jc w:val="both"/>
            </w:pPr>
            <w:r>
              <w:t>Actividades:</w:t>
            </w:r>
          </w:p>
          <w:p w14:paraId="69CF1866" w14:textId="1EF411F9" w:rsidR="00580ECC" w:rsidRPr="002A19B5" w:rsidRDefault="00CA053E" w:rsidP="00767F0D">
            <w:pPr>
              <w:pStyle w:val="TableParagraph"/>
              <w:numPr>
                <w:ilvl w:val="0"/>
                <w:numId w:val="12"/>
              </w:numPr>
              <w:spacing w:before="120" w:after="120"/>
              <w:ind w:right="141"/>
              <w:rPr>
                <w:iCs/>
              </w:rPr>
            </w:pPr>
            <w:r>
              <w:t>e</w:t>
            </w:r>
            <w:r w:rsidR="00580ECC">
              <w:t>valuación de los recursos y la información disponibles en relación con el desarrollo y la aplicación de un ecosistema para la protección y el uso comercial de las IG no agrícolas</w:t>
            </w:r>
            <w:r w:rsidR="00D87E9E">
              <w:t xml:space="preserve"> en cada país candidato</w:t>
            </w:r>
            <w:r w:rsidR="00580ECC">
              <w:t>; y</w:t>
            </w:r>
          </w:p>
          <w:p w14:paraId="48E7E6BB" w14:textId="02FCA160" w:rsidR="00580ECC" w:rsidRPr="002A19B5" w:rsidRDefault="00CA053E" w:rsidP="00767F0D">
            <w:pPr>
              <w:pStyle w:val="TableParagraph"/>
              <w:numPr>
                <w:ilvl w:val="0"/>
                <w:numId w:val="12"/>
              </w:numPr>
              <w:spacing w:before="120" w:after="120"/>
              <w:ind w:right="141"/>
              <w:rPr>
                <w:iCs/>
              </w:rPr>
            </w:pPr>
            <w:r>
              <w:t>c</w:t>
            </w:r>
            <w:r w:rsidR="00580ECC">
              <w:t>elebración de un taller con investigadores y partes interesadas para elaborar una metodología que permita estudiar el impacto de las IG no agrícolas en las comunidades locales y en la preservación o la recuperación de las artes y tradiciones locales, según el caso</w:t>
            </w:r>
            <w:r w:rsidR="008454FB">
              <w:t>, y seleccionar hasta tres países además de la India como pilotos de la metodología</w:t>
            </w:r>
            <w:r w:rsidR="00580ECC">
              <w:t>.</w:t>
            </w:r>
          </w:p>
          <w:p w14:paraId="038B806F" w14:textId="651C24C6" w:rsidR="00580ECC" w:rsidRPr="002A19B5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Producto 2:</w:t>
            </w:r>
            <w:r w:rsidR="004A13D3">
              <w:t xml:space="preserve"> </w:t>
            </w:r>
            <w:r>
              <w:t>Elaboración de estudios de caso sobre el impacto de las IG no agrícolas en las comunidades locales y en la preservación o la recuperación de las artes y tradiciones locales, según el caso, en los países seleccionados.</w:t>
            </w:r>
          </w:p>
          <w:p w14:paraId="19CAD667" w14:textId="77777777" w:rsidR="00580ECC" w:rsidRPr="002A19B5" w:rsidRDefault="00580ECC" w:rsidP="0009615B">
            <w:pPr>
              <w:pStyle w:val="TableParagraph"/>
              <w:keepNext/>
              <w:keepLines/>
              <w:spacing w:before="120" w:after="120"/>
              <w:ind w:left="119" w:right="141"/>
            </w:pPr>
            <w:r>
              <w:lastRenderedPageBreak/>
              <w:t>Actividades:</w:t>
            </w:r>
          </w:p>
          <w:p w14:paraId="1DC9EBA0" w14:textId="0C1F4364" w:rsidR="00D66DFF" w:rsidRDefault="002847F2" w:rsidP="0009615B">
            <w:pPr>
              <w:pStyle w:val="TableParagraph"/>
              <w:keepNext/>
              <w:keepLines/>
              <w:numPr>
                <w:ilvl w:val="0"/>
                <w:numId w:val="13"/>
              </w:numPr>
              <w:spacing w:before="120" w:after="120"/>
              <w:ind w:right="141"/>
            </w:pPr>
            <w:r>
              <w:t>e</w:t>
            </w:r>
            <w:r w:rsidR="00580ECC">
              <w:t xml:space="preserve">laboración de estudios de caso </w:t>
            </w:r>
            <w:r w:rsidR="00FD4DFB">
              <w:t>para cada</w:t>
            </w:r>
            <w:r w:rsidR="00580ECC">
              <w:t xml:space="preserve"> país piloto</w:t>
            </w:r>
            <w:r w:rsidR="00FD4DFB">
              <w:t>, con el fin de</w:t>
            </w:r>
            <w:r w:rsidR="00580ECC">
              <w:t xml:space="preserve"> documentar ejemplos sobre la manera en que las IG no agrícolas han contribuido al desarrollo de las comunidades locales y a la preservación o la recuperación de las artes y tradiciones locales, según el caso; y</w:t>
            </w:r>
          </w:p>
          <w:p w14:paraId="4D1512F5" w14:textId="07D8A8A1" w:rsidR="00580ECC" w:rsidRPr="002A19B5" w:rsidRDefault="002847F2" w:rsidP="00767F0D">
            <w:pPr>
              <w:pStyle w:val="TableParagraph"/>
              <w:numPr>
                <w:ilvl w:val="0"/>
                <w:numId w:val="13"/>
              </w:numPr>
              <w:spacing w:before="120" w:after="120"/>
              <w:ind w:right="141"/>
              <w:rPr>
                <w:iCs/>
              </w:rPr>
            </w:pPr>
            <w:r>
              <w:t>c</w:t>
            </w:r>
            <w:r w:rsidR="00580ECC">
              <w:t>elebración de cuatro talleres (uno por país piloto) con las partes interesadas de los sectores público y privado para identificar las mejores prácticas, oportunidades y desafíos sobre la base de estudios de caso que sean pertinentes para su propio país o región.</w:t>
            </w:r>
          </w:p>
          <w:p w14:paraId="3C85123A" w14:textId="0D4DF1C8" w:rsidR="00580ECC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Producto 3:</w:t>
            </w:r>
            <w:r w:rsidR="004A13D3">
              <w:t xml:space="preserve"> </w:t>
            </w:r>
            <w:r>
              <w:t xml:space="preserve">Identificación de las mejores prácticas, enseñanzas extraídas, oportunidades y desafíos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387D0FF5" w14:textId="77777777" w:rsidR="00D66DFF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Actividad:</w:t>
            </w:r>
          </w:p>
          <w:p w14:paraId="467F7A80" w14:textId="6661295F" w:rsidR="00580ECC" w:rsidRDefault="007D2C79" w:rsidP="00767F0D">
            <w:pPr>
              <w:pStyle w:val="TableParagraph"/>
              <w:numPr>
                <w:ilvl w:val="0"/>
                <w:numId w:val="14"/>
              </w:numPr>
              <w:spacing w:before="120" w:after="120"/>
              <w:ind w:right="141"/>
              <w:rPr>
                <w:iCs/>
              </w:rPr>
            </w:pPr>
            <w:r>
              <w:t>s</w:t>
            </w:r>
            <w:r w:rsidR="00580ECC">
              <w:t xml:space="preserve">e elaborará un estudio a nivel mundial que incluya las mejores prácticas y las enseñanzas extraídas </w:t>
            </w:r>
            <w:r w:rsidR="00923649">
              <w:t>con el fin de desarrollar y aplicar</w:t>
            </w:r>
            <w:r w:rsidR="00580ECC"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238B619C" w14:textId="2E2AC758" w:rsidR="00580ECC" w:rsidRDefault="00580ECC" w:rsidP="00767F0D">
            <w:pPr>
              <w:pStyle w:val="TableParagraph"/>
              <w:spacing w:before="120" w:after="120"/>
              <w:ind w:left="360" w:right="141"/>
              <w:rPr>
                <w:iCs/>
              </w:rPr>
            </w:pPr>
            <w:r>
              <w:t>Producto 4:</w:t>
            </w:r>
            <w:r w:rsidR="004A13D3">
              <w:t xml:space="preserve"> </w:t>
            </w:r>
            <w:r>
              <w:t>Obtención y difusión de los resultados del estudio y de las mejores prácticas identificadas para la aplicación eficaz de los regímenes de IG no agrícolas.</w:t>
            </w:r>
          </w:p>
          <w:p w14:paraId="352C60BC" w14:textId="77777777" w:rsidR="00580ECC" w:rsidRPr="00464DF7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Actividades:</w:t>
            </w:r>
          </w:p>
          <w:p w14:paraId="0287D595" w14:textId="2A19CED8" w:rsidR="00580ECC" w:rsidRPr="00E24D8B" w:rsidRDefault="007D2C79" w:rsidP="00767F0D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141"/>
              <w:rPr>
                <w:iCs/>
              </w:rPr>
            </w:pPr>
            <w:r>
              <w:t>s</w:t>
            </w:r>
            <w:r w:rsidR="00580ECC">
              <w:t xml:space="preserve">e organizará una conferencia para </w:t>
            </w:r>
            <w:r>
              <w:t>transmitir</w:t>
            </w:r>
            <w:r w:rsidR="00580ECC">
              <w:t xml:space="preserve"> los conocimientos adquiridos a un grupo más amplio de partes interesadas.</w:t>
            </w:r>
            <w:r w:rsidR="004A13D3">
              <w:t xml:space="preserve"> </w:t>
            </w:r>
            <w:r w:rsidR="00580ECC">
              <w:t>La conferencia ofrecerá orientaciones prácticas para aplicar eficazmente la protección de las IG no agrícolas.</w:t>
            </w:r>
            <w:r w:rsidR="004A13D3">
              <w:t xml:space="preserve"> </w:t>
            </w:r>
            <w:r w:rsidR="00580ECC">
              <w:t xml:space="preserve">Las oportunidades de creación de redes fomentarán </w:t>
            </w:r>
            <w:r w:rsidR="00110BBB">
              <w:t>el establecimiento de</w:t>
            </w:r>
            <w:r w:rsidR="00580ECC">
              <w:t xml:space="preserve"> relaciones y facilitarán la futura colaboración entre los países participantes; y</w:t>
            </w:r>
          </w:p>
          <w:p w14:paraId="30195AF8" w14:textId="1ED8E30C" w:rsidR="00580ECC" w:rsidRPr="00464DF7" w:rsidRDefault="00110BBB" w:rsidP="00767F0D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141"/>
              <w:rPr>
                <w:iCs/>
              </w:rPr>
            </w:pPr>
            <w:r>
              <w:t>s</w:t>
            </w:r>
            <w:r w:rsidR="00580ECC">
              <w:t xml:space="preserve">e elaborará material </w:t>
            </w:r>
            <w:r w:rsidR="00A14EFE">
              <w:t>de promoción/información</w:t>
            </w:r>
            <w:r w:rsidR="00580ECC">
              <w:t xml:space="preserve"> para las IG no agrícolas que se hayan tenido en cuenta para los estudios de caso del Producto 2</w:t>
            </w:r>
            <w:r w:rsidR="0047020C">
              <w:t xml:space="preserve">, </w:t>
            </w:r>
            <w:r w:rsidR="00580ECC">
              <w:t>Actividad a.</w:t>
            </w:r>
          </w:p>
        </w:tc>
      </w:tr>
      <w:tr w:rsidR="00580ECC" w:rsidRPr="005D72F4" w14:paraId="4757D205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97EC7B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lastRenderedPageBreak/>
              <w:t>Indicadores del proyecto</w:t>
            </w:r>
          </w:p>
        </w:tc>
      </w:tr>
      <w:tr w:rsidR="00580ECC" w:rsidRPr="005D72F4" w14:paraId="18A14503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0F20F185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Objetivo del proyecto</w:t>
            </w:r>
          </w:p>
          <w:p w14:paraId="7DDE3DC6" w14:textId="14751469" w:rsidR="00580ECC" w:rsidRPr="00AB2740" w:rsidRDefault="00580ECC" w:rsidP="00767F0D">
            <w:pPr>
              <w:pStyle w:val="TableParagraph"/>
              <w:spacing w:before="120" w:after="120"/>
              <w:ind w:left="210" w:right="140"/>
            </w:pPr>
            <w:r>
              <w:t xml:space="preserve">Comprender mejor el impacto multifactorial de las IG no agrícolas en las comunidades locales y en la preservación o la recuperación de las artes y tradiciones locales </w:t>
            </w:r>
            <w:r w:rsidR="0047020C">
              <w:t>con el fin de</w:t>
            </w:r>
            <w:r>
              <w:t xml:space="preserve"> desarrollar y aplicar un ecosistema eficaz y propicio para la protección y el uso comercial de las IG no agrícolas.</w:t>
            </w:r>
          </w:p>
        </w:tc>
        <w:tc>
          <w:tcPr>
            <w:tcW w:w="4676" w:type="dxa"/>
            <w:shd w:val="clear" w:color="auto" w:fill="auto"/>
          </w:tcPr>
          <w:p w14:paraId="51F4D98D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Indicadores del objetivo</w:t>
            </w:r>
          </w:p>
          <w:p w14:paraId="394AE38B" w14:textId="005B80CB" w:rsidR="00580ECC" w:rsidRDefault="00580ECC" w:rsidP="00767F0D">
            <w:pPr>
              <w:pStyle w:val="ListParagraph"/>
              <w:numPr>
                <w:ilvl w:val="0"/>
                <w:numId w:val="30"/>
              </w:numPr>
              <w:spacing w:before="120" w:after="120"/>
              <w:ind w:left="211" w:hanging="180"/>
            </w:pPr>
            <w:r>
              <w:t xml:space="preserve">Al menos </w:t>
            </w:r>
            <w:r w:rsidR="00A14EFE">
              <w:t>4</w:t>
            </w:r>
            <w:r>
              <w:t xml:space="preserve"> comunidades utilizan los productos del proyecto.</w:t>
            </w:r>
            <w:r w:rsidR="00A14EFE">
              <w:rPr>
                <w:rStyle w:val="FootnoteReference"/>
              </w:rPr>
              <w:footnoteReference w:id="2"/>
            </w:r>
          </w:p>
          <w:p w14:paraId="090825DD" w14:textId="77777777" w:rsidR="00580ECC" w:rsidRPr="002650BC" w:rsidRDefault="00580ECC" w:rsidP="00767F0D">
            <w:pPr>
              <w:pStyle w:val="ListParagraph"/>
              <w:spacing w:before="120" w:after="120"/>
              <w:ind w:left="218" w:firstLine="0"/>
              <w:rPr>
                <w:bCs/>
              </w:rPr>
            </w:pPr>
          </w:p>
        </w:tc>
      </w:tr>
      <w:tr w:rsidR="00580ECC" w:rsidRPr="005D72F4" w14:paraId="1CDAD221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7DE140A1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 w:right="142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Efectos directos del proyecto</w:t>
            </w:r>
          </w:p>
          <w:p w14:paraId="457957B3" w14:textId="77777777" w:rsidR="00580ECC" w:rsidRPr="00056E8C" w:rsidRDefault="00580ECC" w:rsidP="00767F0D">
            <w:pPr>
              <w:widowControl w:val="0"/>
              <w:autoSpaceDE w:val="0"/>
              <w:autoSpaceDN w:val="0"/>
              <w:spacing w:before="120"/>
              <w:ind w:left="115" w:right="144"/>
              <w:rPr>
                <w:iCs/>
              </w:rPr>
            </w:pPr>
            <w:r>
              <w:t xml:space="preserve">Mayor conciencia entre las partes interesadas de los sectores público y privado sobre el impacto multifactorial de las IG no agrícolas en las comunidades locales y en la </w:t>
            </w:r>
            <w:r>
              <w:lastRenderedPageBreak/>
              <w:t>preservación o la recuperación de las artes y tradiciones locales, según el caso.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5B264791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lastRenderedPageBreak/>
              <w:t>Indicadores de los efectos directos</w:t>
            </w:r>
          </w:p>
          <w:p w14:paraId="35511879" w14:textId="77777777" w:rsidR="00D66DFF" w:rsidRDefault="00580ECC" w:rsidP="00767F0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right="141" w:hanging="180"/>
            </w:pPr>
            <w:r>
              <w:t>Al menos el 60% de los participantes en las actividades del proyecto indica</w:t>
            </w:r>
            <w:r w:rsidR="0024342A">
              <w:t>ro</w:t>
            </w:r>
            <w:r>
              <w:t xml:space="preserve">n que </w:t>
            </w:r>
            <w:r w:rsidR="0024342A">
              <w:t>tomaron</w:t>
            </w:r>
            <w:r>
              <w:t xml:space="preserve"> mayor conciencia.</w:t>
            </w:r>
          </w:p>
          <w:p w14:paraId="657A389D" w14:textId="30D9F9CE" w:rsidR="00580ECC" w:rsidRPr="00D85E10" w:rsidRDefault="00580ECC" w:rsidP="00767F0D">
            <w:pPr>
              <w:widowControl w:val="0"/>
              <w:autoSpaceDE w:val="0"/>
              <w:autoSpaceDN w:val="0"/>
              <w:spacing w:before="120" w:after="120"/>
              <w:ind w:left="128" w:right="141"/>
              <w:rPr>
                <w:rFonts w:eastAsia="Arial"/>
                <w:bCs/>
              </w:rPr>
            </w:pPr>
          </w:p>
        </w:tc>
      </w:tr>
      <w:tr w:rsidR="00580ECC" w:rsidRPr="005D72F4" w14:paraId="7EF76C4E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11BBEF78" w14:textId="77777777" w:rsidR="00580ECC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 w:right="142"/>
              <w:rPr>
                <w:rFonts w:eastAsia="Arial"/>
                <w:b/>
                <w:bCs/>
                <w:u w:val="single"/>
              </w:rPr>
            </w:pPr>
            <w:r>
              <w:lastRenderedPageBreak/>
              <w:t>Intercambio de información y colaboración entre las partes interesadas para estimular el crecimiento general.</w:t>
            </w:r>
          </w:p>
        </w:tc>
        <w:tc>
          <w:tcPr>
            <w:tcW w:w="4676" w:type="dxa"/>
            <w:shd w:val="clear" w:color="auto" w:fill="auto"/>
          </w:tcPr>
          <w:p w14:paraId="71DE79E6" w14:textId="77777777" w:rsidR="00580ECC" w:rsidRPr="00104DFC" w:rsidRDefault="00580ECC" w:rsidP="00767F0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hanging="180"/>
            </w:pPr>
            <w:r>
              <w:t>Al menos 100 participantes realizaron intercambios de información y colaboración durante el proyecto.</w:t>
            </w:r>
          </w:p>
        </w:tc>
      </w:tr>
      <w:tr w:rsidR="00580ECC" w:rsidRPr="005D72F4" w14:paraId="0FF41CA2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7502E0FF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Productos del proyecto</w:t>
            </w:r>
          </w:p>
          <w:p w14:paraId="0A7E8FCD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/>
              <w:ind w:left="115" w:right="58"/>
              <w:rPr>
                <w:rFonts w:eastAsia="Arial"/>
                <w:bCs/>
                <w:u w:val="single"/>
              </w:rPr>
            </w:pPr>
            <w:r>
              <w:t>Elaboración de una metodología para emprender un estudio sobre el impacto multifactorial de las IG no agrícolas en las comunidades locales y en la preservación o la recuperación de las artes y tradiciones locales.</w:t>
            </w:r>
          </w:p>
        </w:tc>
        <w:tc>
          <w:tcPr>
            <w:tcW w:w="4676" w:type="dxa"/>
            <w:shd w:val="clear" w:color="auto" w:fill="auto"/>
          </w:tcPr>
          <w:p w14:paraId="345F5403" w14:textId="77777777" w:rsidR="00580ECC" w:rsidRPr="00AB2740" w:rsidRDefault="00580ECC" w:rsidP="00767F0D">
            <w:pPr>
              <w:widowControl w:val="0"/>
              <w:tabs>
                <w:tab w:val="left" w:pos="4147"/>
              </w:tabs>
              <w:autoSpaceDE w:val="0"/>
              <w:autoSpaceDN w:val="0"/>
              <w:spacing w:before="120" w:after="120"/>
              <w:ind w:left="130" w:right="216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Indicadores de los productos</w:t>
            </w:r>
          </w:p>
          <w:p w14:paraId="4826B4D5" w14:textId="77777777" w:rsidR="00580ECC" w:rsidRPr="000A4337" w:rsidRDefault="00580ECC" w:rsidP="00767F0D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Cs/>
                <w:u w:val="single"/>
              </w:rPr>
            </w:pPr>
            <w:r>
              <w:t xml:space="preserve">Informe sobre la metodología validada por las partes interesadas y los encargados de la revisión por homólogos. </w:t>
            </w:r>
          </w:p>
        </w:tc>
      </w:tr>
      <w:tr w:rsidR="00580ECC" w:rsidRPr="005D72F4" w14:paraId="553927A1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22FB30BF" w14:textId="77777777" w:rsidR="00580ECC" w:rsidRPr="00056E8C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Elaboración de estudios de caso sobre el impacto de las IG no agrícolas en las comunidades locales y en la preservación o la recuperación de las artes y tradiciones locales, según el caso, en los países seleccionados.</w:t>
            </w:r>
          </w:p>
        </w:tc>
        <w:tc>
          <w:tcPr>
            <w:tcW w:w="4676" w:type="dxa"/>
            <w:shd w:val="clear" w:color="auto" w:fill="auto"/>
          </w:tcPr>
          <w:p w14:paraId="1989C437" w14:textId="60D29D36" w:rsidR="00580ECC" w:rsidRPr="000A4337" w:rsidRDefault="00580ECC" w:rsidP="00767F0D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</w:rPr>
            </w:pPr>
            <w:r>
              <w:t>Elaboración de estudios de caso para documentar ejemplos sobre la manera en que IG no agrícolas han contribuido al desarrollo de las comunidades locales y a la preservación o la recuperación de las artes y tradiciones locales</w:t>
            </w:r>
            <w:r w:rsidR="006D3DEC">
              <w:t>, validados por los sectores interesados y revisados por homólogos</w:t>
            </w:r>
            <w:r>
              <w:t>.</w:t>
            </w:r>
          </w:p>
        </w:tc>
      </w:tr>
      <w:tr w:rsidR="00580ECC" w:rsidRPr="005D72F4" w14:paraId="60A274C4" w14:textId="77777777" w:rsidTr="00767F0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CB2276E" w14:textId="6289FD18" w:rsidR="00580ECC" w:rsidRPr="00F8661A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 xml:space="preserve">Identificación de las mejores prácticas, enseñanzas extraídas, oportunidades y desafíos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</w:tc>
        <w:tc>
          <w:tcPr>
            <w:tcW w:w="4676" w:type="dxa"/>
            <w:shd w:val="clear" w:color="auto" w:fill="FFFFFF" w:themeFill="background1"/>
          </w:tcPr>
          <w:p w14:paraId="299F5591" w14:textId="77777777" w:rsidR="00580ECC" w:rsidRDefault="00580ECC" w:rsidP="00767F0D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Estudio a escala mundial que incluya las mejores prácticas y las enseñanzas extraídas, validado por las partes interesadas y los encargados de la revisión por homólogos.</w:t>
            </w:r>
          </w:p>
        </w:tc>
      </w:tr>
      <w:tr w:rsidR="00580ECC" w:rsidRPr="005D72F4" w14:paraId="09F04098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0FF98527" w14:textId="0E98E7CB" w:rsidR="00580ECC" w:rsidRPr="00A932DD" w:rsidRDefault="00580ECC" w:rsidP="00A932DD">
            <w:pPr>
              <w:widowControl w:val="0"/>
              <w:autoSpaceDE w:val="0"/>
              <w:autoSpaceDN w:val="0"/>
              <w:spacing w:before="120" w:after="120"/>
              <w:ind w:left="119"/>
            </w:pPr>
            <w:r>
              <w:t>Obtención y difusión de los resultados del estudio y de las mejores prácticas identificadas para la aplicación eficaz de los regímenes de IG no agrícolas.</w:t>
            </w:r>
          </w:p>
        </w:tc>
        <w:tc>
          <w:tcPr>
            <w:tcW w:w="4676" w:type="dxa"/>
            <w:shd w:val="clear" w:color="auto" w:fill="auto"/>
          </w:tcPr>
          <w:p w14:paraId="7275F1C5" w14:textId="77777777" w:rsidR="00580ECC" w:rsidRDefault="00580ECC" w:rsidP="00767F0D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Número y tipo de participantes en talleres, conferencias y otros actos de difusión organizados por el proyecto.</w:t>
            </w:r>
          </w:p>
          <w:p w14:paraId="31C91325" w14:textId="77777777" w:rsidR="00580ECC" w:rsidRPr="00790736" w:rsidRDefault="00580ECC" w:rsidP="00767F0D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Número de partes interesadas que han tenido acceso a la investigación y a los estudios de caso.</w:t>
            </w:r>
          </w:p>
        </w:tc>
      </w:tr>
      <w:tr w:rsidR="00580ECC" w:rsidRPr="005D72F4" w14:paraId="2AA11277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60EACC00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t>Estrategia de sostenibilidad</w:t>
            </w:r>
          </w:p>
        </w:tc>
      </w:tr>
      <w:tr w:rsidR="00580ECC" w:rsidRPr="005D72F4" w14:paraId="6307F191" w14:textId="77777777" w:rsidTr="00767F0D">
        <w:trPr>
          <w:trHeight w:val="370"/>
        </w:trPr>
        <w:tc>
          <w:tcPr>
            <w:tcW w:w="9352" w:type="dxa"/>
            <w:gridSpan w:val="2"/>
          </w:tcPr>
          <w:p w14:paraId="2E8613A6" w14:textId="77777777" w:rsidR="00D66DFF" w:rsidRDefault="00580ECC" w:rsidP="00767F0D">
            <w:pPr>
              <w:pStyle w:val="TableParagraph"/>
              <w:spacing w:before="120" w:after="120"/>
              <w:ind w:left="115" w:right="135"/>
            </w:pPr>
            <w:r>
              <w:t>Con el objetivo de garantizar la sostenibilidad de los productos del proyecto, se dará fácil acceso a todo el material pertinente elaborado en el contexto del proyecto mediante su puesta a disposición en el sitio web de la OMPI.</w:t>
            </w:r>
          </w:p>
          <w:p w14:paraId="4F304FEA" w14:textId="03249C1F" w:rsidR="00580ECC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  <w:r>
              <w:t>Para ayudar a mantener el impulso de los efectos directos del proyecto, se alentará a los participantes a crear y mantener una página web específica</w:t>
            </w:r>
            <w:r w:rsidR="00426032">
              <w:t>,</w:t>
            </w:r>
            <w:r>
              <w:t xml:space="preserve"> o un espacio en sus páginas web oficiales</w:t>
            </w:r>
            <w:r w:rsidR="00426032">
              <w:t>,</w:t>
            </w:r>
            <w:r>
              <w:t xml:space="preserve"> en el marco de un plan de comunicaciones de promoción.</w:t>
            </w:r>
          </w:p>
          <w:p w14:paraId="0B76AE43" w14:textId="77777777" w:rsidR="00580ECC" w:rsidRPr="005D72F4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t xml:space="preserve">La estrategia de sostenibilidad se actualizará en el curso de la ejecución del proyecto. </w:t>
            </w:r>
          </w:p>
        </w:tc>
      </w:tr>
      <w:tr w:rsidR="00580ECC" w:rsidRPr="005D72F4" w14:paraId="07C2E041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2CB2E7A" w14:textId="6B7CCE74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 xml:space="preserve">Criterios de selección para </w:t>
            </w:r>
            <w:r w:rsidR="00371151">
              <w:rPr>
                <w:b/>
              </w:rPr>
              <w:t>participar en el estudio</w:t>
            </w:r>
          </w:p>
        </w:tc>
      </w:tr>
      <w:tr w:rsidR="00580ECC" w:rsidRPr="005D72F4" w14:paraId="2FC14B30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auto"/>
          </w:tcPr>
          <w:p w14:paraId="414D3583" w14:textId="401C86EF" w:rsidR="00D66DFF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 w:right="86"/>
            </w:pPr>
            <w:r>
              <w:t>Para la selección de los países</w:t>
            </w:r>
            <w:r w:rsidR="00371151">
              <w:t xml:space="preserve"> que abarque el estudio</w:t>
            </w:r>
            <w:r>
              <w:t xml:space="preserve">, </w:t>
            </w:r>
            <w:r w:rsidR="00371151">
              <w:t xml:space="preserve">se considerará aplicar </w:t>
            </w:r>
            <w:r>
              <w:t>los siguientes criterios:</w:t>
            </w:r>
          </w:p>
          <w:p w14:paraId="1B3E9EDD" w14:textId="5B9B4C4A" w:rsidR="00D66DFF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lastRenderedPageBreak/>
              <w:t>La diversidad de regiones:</w:t>
            </w:r>
            <w:r w:rsidR="004A13D3">
              <w:t xml:space="preserve"> </w:t>
            </w:r>
            <w:r w:rsidR="00790EC2">
              <w:t xml:space="preserve">para </w:t>
            </w:r>
            <w:r>
              <w:t xml:space="preserve">aumentar la probabilidad de poder reproducir el proyecto en otros países en el futuro, la selección tendrá en cuenta la diversidad geográfica </w:t>
            </w:r>
            <w:r w:rsidR="007C037F">
              <w:t>en cuanto a</w:t>
            </w:r>
            <w:r>
              <w:t xml:space="preserve"> regiones y nivel de desarrollo.</w:t>
            </w:r>
          </w:p>
          <w:p w14:paraId="4CF7B3B9" w14:textId="5ED42184" w:rsidR="00D66DFF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disponibilidad de datos:</w:t>
            </w:r>
            <w:r w:rsidR="004A13D3">
              <w:t xml:space="preserve"> </w:t>
            </w:r>
            <w:r w:rsidR="00790EC2">
              <w:t xml:space="preserve">los </w:t>
            </w:r>
            <w:r>
              <w:t>países deben ser seleccionados en función de la disponibilidad de datos existentes.</w:t>
            </w:r>
          </w:p>
          <w:p w14:paraId="18DA2306" w14:textId="4C61549C" w:rsidR="00580ECC" w:rsidRPr="00D44A76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existencia de IG no agrícolas y un número suficiente de miembros de la comunidad local, en</w:t>
            </w:r>
            <w:r w:rsidR="0039039B">
              <w:t>tre</w:t>
            </w:r>
            <w:r>
              <w:t xml:space="preserve"> ellos, personas, emprendedores y empresas implicadas, son necesarios para garantizar la viabilidad de cualquier estudio</w:t>
            </w:r>
            <w:r w:rsidR="0039039B">
              <w:t>,</w:t>
            </w:r>
            <w:r>
              <w:t xml:space="preserve"> ya sea cualitativo o cuantitativo.</w:t>
            </w:r>
            <w:r w:rsidR="004A13D3">
              <w:t xml:space="preserve"> </w:t>
            </w:r>
            <w:r>
              <w:t>El acceso a datos económicos complementarios constituye también un criterio clave para la selección de un país.</w:t>
            </w:r>
          </w:p>
          <w:p w14:paraId="037E68DC" w14:textId="6AE0CE97" w:rsidR="00580ECC" w:rsidRPr="00D44A76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Marco jurídico:</w:t>
            </w:r>
            <w:r w:rsidR="004A13D3">
              <w:t xml:space="preserve"> </w:t>
            </w:r>
            <w:r w:rsidR="00790EC2">
              <w:t xml:space="preserve">con independencia del sistema utilizado para proteger las indicaciones geográficas, existencia </w:t>
            </w:r>
            <w:r>
              <w:t>de un marco jurídico para la protección de las IG no agrícolas y datos que demuestren el uso de dicha protección por parte de la comunidad local.</w:t>
            </w:r>
          </w:p>
          <w:p w14:paraId="57214879" w14:textId="54C93445" w:rsidR="00D66DFF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disponibilidad de conocimientos técnicos locales:</w:t>
            </w:r>
            <w:r w:rsidR="004A13D3">
              <w:t xml:space="preserve"> </w:t>
            </w:r>
            <w:r w:rsidR="00790EC2">
              <w:t xml:space="preserve">en </w:t>
            </w:r>
            <w:r>
              <w:t>la selección también se tendrá</w:t>
            </w:r>
            <w:r w:rsidR="00790EC2">
              <w:t>n</w:t>
            </w:r>
            <w:r>
              <w:t xml:space="preserve"> en cuenta la</w:t>
            </w:r>
            <w:r w:rsidR="00A34E3E">
              <w:t>s necesidades de contratación</w:t>
            </w:r>
            <w:r>
              <w:t xml:space="preserve"> y la disponibilidad de conocimientos técnicos locales en cada caso.</w:t>
            </w:r>
          </w:p>
          <w:p w14:paraId="6DBD8376" w14:textId="527F502A" w:rsidR="00580ECC" w:rsidRPr="000F78F6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El compromiso a largo plazo:</w:t>
            </w:r>
            <w:r w:rsidR="004A13D3">
              <w:t xml:space="preserve"> </w:t>
            </w:r>
            <w:r w:rsidR="00790EC2">
              <w:t xml:space="preserve">apoyo </w:t>
            </w:r>
            <w:r>
              <w:t>político y compromiso con el desarrollo de las comunidades locales.</w:t>
            </w:r>
            <w:r w:rsidR="004A13D3">
              <w:t xml:space="preserve"> </w:t>
            </w:r>
            <w:r>
              <w:t xml:space="preserve">Los </w:t>
            </w:r>
            <w:r w:rsidR="0009615B">
              <w:t>países</w:t>
            </w:r>
            <w:r>
              <w:t xml:space="preserve"> deben estar dispuestos a dedicar los recursos necesarios para la ejecución eficaz del proyecto y su sostenibilidad.</w:t>
            </w:r>
          </w:p>
          <w:p w14:paraId="1A694061" w14:textId="7921940B" w:rsidR="00580ECC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relación costoeficacia:</w:t>
            </w:r>
            <w:r w:rsidR="004A13D3">
              <w:t xml:space="preserve"> </w:t>
            </w:r>
            <w:r w:rsidR="00790EC2">
              <w:t xml:space="preserve">también </w:t>
            </w:r>
            <w:r>
              <w:t>se tendrá en cuenta cualquier ahorro relativo a la administración del proyecto, el perfil de los consultores y los viajes.</w:t>
            </w:r>
          </w:p>
          <w:p w14:paraId="52D77C1D" w14:textId="3E74A24E" w:rsidR="00580ECC" w:rsidRPr="0038529E" w:rsidRDefault="00580ECC" w:rsidP="00767F0D">
            <w:pPr>
              <w:spacing w:before="120" w:after="120"/>
              <w:ind w:left="120" w:right="86"/>
            </w:pPr>
            <w:r>
              <w:t>Los criterios mencionados se tendrán en cuenta al analizar la</w:t>
            </w:r>
            <w:r w:rsidR="003408E6">
              <w:t>s</w:t>
            </w:r>
            <w:r>
              <w:t xml:space="preserve"> solicitud</w:t>
            </w:r>
            <w:r w:rsidR="003408E6">
              <w:t>es</w:t>
            </w:r>
            <w:r>
              <w:t xml:space="preserve"> de participación.</w:t>
            </w:r>
            <w:r w:rsidR="004A13D3">
              <w:t xml:space="preserve"> </w:t>
            </w:r>
            <w:r>
              <w:t xml:space="preserve">Los Estados miembros interesados deberán rellenar la plantilla de </w:t>
            </w:r>
            <w:r w:rsidR="00A8093B">
              <w:t>solicitud de participación</w:t>
            </w:r>
            <w:r>
              <w:t xml:space="preserve"> que figura en el Anexo II del presente documento.</w:t>
            </w:r>
          </w:p>
        </w:tc>
      </w:tr>
      <w:tr w:rsidR="00580ECC" w:rsidRPr="005D72F4" w14:paraId="1244218E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56E446F" w14:textId="50D8E66F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Dependencia</w:t>
            </w:r>
            <w:r w:rsidR="00426032">
              <w:rPr>
                <w:b/>
              </w:rPr>
              <w:t>s</w:t>
            </w:r>
            <w:r>
              <w:rPr>
                <w:b/>
              </w:rPr>
              <w:t xml:space="preserve"> orgánica</w:t>
            </w:r>
            <w:r w:rsidR="00426032">
              <w:rPr>
                <w:b/>
              </w:rPr>
              <w:t>s</w:t>
            </w:r>
            <w:r>
              <w:rPr>
                <w:b/>
              </w:rPr>
              <w:t xml:space="preserve"> encargada</w:t>
            </w:r>
            <w:r w:rsidR="00426032">
              <w:rPr>
                <w:b/>
              </w:rPr>
              <w:t>s</w:t>
            </w:r>
            <w:r>
              <w:rPr>
                <w:b/>
              </w:rPr>
              <w:t xml:space="preserve"> de la ejecución</w:t>
            </w:r>
          </w:p>
        </w:tc>
      </w:tr>
      <w:tr w:rsidR="00580ECC" w:rsidRPr="005D72F4" w14:paraId="1E9FE4E2" w14:textId="77777777" w:rsidTr="00767F0D">
        <w:trPr>
          <w:trHeight w:val="265"/>
        </w:trPr>
        <w:tc>
          <w:tcPr>
            <w:tcW w:w="9352" w:type="dxa"/>
            <w:gridSpan w:val="2"/>
          </w:tcPr>
          <w:p w14:paraId="43A46783" w14:textId="7D08A3E2" w:rsidR="00D66DFF" w:rsidRDefault="00693AFA" w:rsidP="00767F0D">
            <w:pPr>
              <w:widowControl w:val="0"/>
              <w:autoSpaceDE w:val="0"/>
              <w:autoSpaceDN w:val="0"/>
              <w:spacing w:before="120" w:after="120"/>
              <w:ind w:left="115"/>
            </w:pPr>
            <w:r>
              <w:t xml:space="preserve">Registro de Lisboa, </w:t>
            </w:r>
            <w:r w:rsidR="00580ECC">
              <w:t>Departamento de Marcas, Diseños Industriales e Indicaciones Geográficas, Sector de Marcas y Diseños;</w:t>
            </w:r>
          </w:p>
          <w:p w14:paraId="46A0B72C" w14:textId="32E62EF6" w:rsidR="00580ECC" w:rsidRPr="00D85E1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/>
            </w:pPr>
            <w:r>
              <w:t>Departamento de Economía y Análisis de Datos, Sector de PI y Ecosistemas de Innovación</w:t>
            </w:r>
          </w:p>
        </w:tc>
      </w:tr>
      <w:tr w:rsidR="00580ECC" w:rsidRPr="005D72F4" w14:paraId="1A826D22" w14:textId="77777777" w:rsidTr="00767F0D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771C7A08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Vínculos con otras dependencias orgánicas</w:t>
            </w:r>
          </w:p>
        </w:tc>
      </w:tr>
      <w:tr w:rsidR="00580ECC" w:rsidRPr="005D72F4" w14:paraId="06773EB8" w14:textId="77777777" w:rsidTr="00767F0D">
        <w:trPr>
          <w:trHeight w:val="373"/>
        </w:trPr>
        <w:tc>
          <w:tcPr>
            <w:tcW w:w="9352" w:type="dxa"/>
            <w:gridSpan w:val="2"/>
          </w:tcPr>
          <w:p w14:paraId="18A17E4E" w14:textId="77777777" w:rsidR="00580ECC" w:rsidRPr="00F41A8F" w:rsidRDefault="00580ECC" w:rsidP="00767F0D">
            <w:pPr>
              <w:pStyle w:val="TableParagraph"/>
              <w:spacing w:line="276" w:lineRule="auto"/>
              <w:ind w:left="81" w:right="578"/>
            </w:pPr>
            <w:r>
              <w:t>Sector de Desarrollo Regional y Nacional, Sector de PI y Ecosistemas de Innovación</w:t>
            </w:r>
          </w:p>
        </w:tc>
      </w:tr>
      <w:tr w:rsidR="00580ECC" w:rsidRPr="005D72F4" w14:paraId="543058AE" w14:textId="77777777" w:rsidTr="00767F0D">
        <w:trPr>
          <w:trHeight w:val="179"/>
        </w:trPr>
        <w:tc>
          <w:tcPr>
            <w:tcW w:w="9352" w:type="dxa"/>
            <w:gridSpan w:val="2"/>
            <w:shd w:val="clear" w:color="auto" w:fill="00FFCC"/>
          </w:tcPr>
          <w:p w14:paraId="27ADDE27" w14:textId="77777777" w:rsidR="00580ECC" w:rsidRPr="00F41A8F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50" w:lineRule="exact"/>
              <w:ind w:left="823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Vínculos con otros proyectos de la AD</w:t>
            </w:r>
          </w:p>
        </w:tc>
      </w:tr>
      <w:tr w:rsidR="00580ECC" w:rsidRPr="005D72F4" w14:paraId="3C1C88A7" w14:textId="77777777" w:rsidTr="00767F0D">
        <w:trPr>
          <w:trHeight w:val="568"/>
        </w:trPr>
        <w:tc>
          <w:tcPr>
            <w:tcW w:w="9352" w:type="dxa"/>
            <w:gridSpan w:val="2"/>
          </w:tcPr>
          <w:p w14:paraId="5DC6F53C" w14:textId="4B8CCD16" w:rsidR="00580ECC" w:rsidRPr="00E64508" w:rsidRDefault="00580ECC" w:rsidP="00767F0D">
            <w:pPr>
              <w:pStyle w:val="TableParagraph"/>
              <w:spacing w:before="120" w:after="120"/>
              <w:ind w:left="86" w:right="137"/>
            </w:pPr>
            <w:r>
              <w:t xml:space="preserve">Proyecto de la </w:t>
            </w:r>
            <w:r w:rsidR="002455BA">
              <w:t>AD</w:t>
            </w:r>
            <w:r>
              <w:t xml:space="preserve"> sobre </w:t>
            </w:r>
            <w:r>
              <w:rPr>
                <w:i/>
              </w:rPr>
              <w:t>el</w:t>
            </w:r>
            <w:r w:rsidR="002455BA">
              <w:rPr>
                <w:i/>
              </w:rPr>
              <w:t xml:space="preserve"> F</w:t>
            </w:r>
            <w:r>
              <w:rPr>
                <w:i/>
              </w:rPr>
              <w:t xml:space="preserve">ortalecimiento del papel de las mujeres en la innovación y el emprendimiento: </w:t>
            </w:r>
            <w:r w:rsidR="002455BA">
              <w:rPr>
                <w:i/>
              </w:rPr>
              <w:t>a</w:t>
            </w:r>
            <w:r>
              <w:rPr>
                <w:i/>
              </w:rPr>
              <w:t>lentar a las mujeres de países en desarrollo a utilizar el sistema de propiedad intelectual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(CDIP/21/12 REV.</w:t>
              </w:r>
            </w:hyperlink>
            <w:r>
              <w:t>)</w:t>
            </w:r>
          </w:p>
          <w:p w14:paraId="34BAD976" w14:textId="0CD8A9C7" w:rsidR="00580ECC" w:rsidRPr="00E64508" w:rsidRDefault="00580ECC" w:rsidP="00767F0D">
            <w:pPr>
              <w:pStyle w:val="TableParagraph"/>
              <w:spacing w:before="120" w:after="120"/>
              <w:ind w:left="86" w:right="137"/>
            </w:pPr>
            <w:r>
              <w:t xml:space="preserve">El proyecto de la AD sobre </w:t>
            </w:r>
            <w:r>
              <w:rPr>
                <w:i/>
              </w:rPr>
              <w:t>Registro de marcas colectivas de emprendimientos locales como eje transversal de desarrollo económico</w:t>
            </w:r>
            <w:r>
              <w:t xml:space="preserve"> (</w:t>
            </w:r>
            <w:hyperlink r:id="rId16" w:history="1">
              <w:r>
                <w:rPr>
                  <w:rStyle w:val="Hyperlink"/>
                </w:rPr>
                <w:t>CDIP/24/9</w:t>
              </w:r>
            </w:hyperlink>
            <w:r>
              <w:t>)</w:t>
            </w:r>
          </w:p>
          <w:p w14:paraId="7F355576" w14:textId="6E8F32F5" w:rsidR="00580ECC" w:rsidRPr="00F41A8F" w:rsidRDefault="00580ECC" w:rsidP="00767F0D">
            <w:pPr>
              <w:pStyle w:val="TableParagraph"/>
              <w:spacing w:before="120" w:after="120"/>
              <w:ind w:left="86" w:right="578"/>
              <w:rPr>
                <w:b/>
              </w:rPr>
            </w:pPr>
            <w:r>
              <w:t xml:space="preserve">Proyecto de la AD sobre </w:t>
            </w:r>
            <w:r>
              <w:rPr>
                <w:i/>
              </w:rPr>
              <w:t>El empoderamiento de las pequeñas empresas mediante la PI: desarrollo de estrategias de apoyo a las indicaciones geográficas y las marcas colectivas en el periodo posterior al registro</w:t>
            </w:r>
            <w:r>
              <w:t xml:space="preserve"> (</w:t>
            </w:r>
            <w:hyperlink r:id="rId17" w:history="1">
              <w:r>
                <w:rPr>
                  <w:rStyle w:val="Hyperlink"/>
                </w:rPr>
                <w:t>CDIP/27/7</w:t>
              </w:r>
            </w:hyperlink>
            <w:r>
              <w:t>)</w:t>
            </w:r>
          </w:p>
        </w:tc>
      </w:tr>
      <w:tr w:rsidR="00580ECC" w:rsidRPr="005D72F4" w14:paraId="50D201D5" w14:textId="77777777" w:rsidTr="00767F0D">
        <w:trPr>
          <w:trHeight w:val="242"/>
        </w:trPr>
        <w:tc>
          <w:tcPr>
            <w:tcW w:w="9352" w:type="dxa"/>
            <w:gridSpan w:val="2"/>
            <w:shd w:val="clear" w:color="auto" w:fill="00FFCC"/>
          </w:tcPr>
          <w:p w14:paraId="2DB34104" w14:textId="77777777" w:rsidR="00580ECC" w:rsidRPr="00F41A8F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6" w:lineRule="exact"/>
              <w:ind w:left="821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Contribución a los resultados previstos del programa de trabajo y presupuesto de la OMPI</w:t>
            </w:r>
          </w:p>
        </w:tc>
      </w:tr>
      <w:tr w:rsidR="00580ECC" w:rsidRPr="005D72F4" w14:paraId="2DEB7181" w14:textId="77777777" w:rsidTr="00767F0D">
        <w:trPr>
          <w:trHeight w:val="451"/>
        </w:trPr>
        <w:tc>
          <w:tcPr>
            <w:tcW w:w="9352" w:type="dxa"/>
            <w:gridSpan w:val="2"/>
          </w:tcPr>
          <w:p w14:paraId="239D17E1" w14:textId="77777777" w:rsidR="00580ECC" w:rsidRPr="006A421D" w:rsidRDefault="00580ECC" w:rsidP="00767F0D">
            <w:pPr>
              <w:widowControl w:val="0"/>
              <w:autoSpaceDE w:val="0"/>
              <w:autoSpaceDN w:val="0"/>
              <w:spacing w:before="120" w:after="120"/>
              <w:ind w:left="120" w:right="13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>Programa de trabajo y presupuesto para 2024/25:</w:t>
            </w:r>
          </w:p>
          <w:p w14:paraId="5CA9E1DC" w14:textId="77777777" w:rsidR="00580ECC" w:rsidRPr="005D72F4" w:rsidRDefault="00580ECC" w:rsidP="00767F0D">
            <w:pPr>
              <w:pStyle w:val="TableParagraph"/>
              <w:spacing w:before="120" w:after="120"/>
              <w:ind w:left="81" w:right="226"/>
              <w:rPr>
                <w:iCs/>
              </w:rPr>
            </w:pPr>
            <w:r>
              <w:rPr>
                <w:b/>
              </w:rPr>
              <w:t>1.1</w:t>
            </w:r>
            <w:r>
              <w:rPr>
                <w:i/>
              </w:rPr>
              <w:t xml:space="preserve"> </w:t>
            </w:r>
            <w:r>
              <w:t>Una comunicación y una implicación más sólidas en todo el mundo para aumentar la concienciación y el conocimiento sobre la forma en que la PI puede mejorar la vida de la humanidad en su conjunto, y en todas partes.</w:t>
            </w:r>
          </w:p>
          <w:p w14:paraId="7C4AADED" w14:textId="77777777" w:rsidR="00580ECC" w:rsidRPr="005D72F4" w:rsidRDefault="00580ECC" w:rsidP="00767F0D">
            <w:pPr>
              <w:pStyle w:val="TableParagraph"/>
              <w:spacing w:before="120" w:after="120"/>
              <w:ind w:left="81" w:right="226"/>
            </w:pPr>
            <w:r>
              <w:rPr>
                <w:b/>
              </w:rPr>
              <w:lastRenderedPageBreak/>
              <w:t>4.1</w:t>
            </w:r>
            <w:r>
              <w:t xml:space="preserve"> Un uso más eficaz de un sistema equilibrado de PI para apoyar el crecimiento y el desarrollo de todos los Estados miembros y sus regiones y subregiones, entre otras cosas, mediante la implantación de las recomendaciones de la Agenda para el Desarrollo.</w:t>
            </w:r>
          </w:p>
          <w:p w14:paraId="57FF6AB6" w14:textId="77777777" w:rsidR="00580ECC" w:rsidRPr="006A421D" w:rsidRDefault="00580ECC" w:rsidP="00767F0D">
            <w:pPr>
              <w:pStyle w:val="TableParagraph"/>
              <w:spacing w:before="120" w:after="120"/>
              <w:ind w:left="81" w:right="226"/>
            </w:pPr>
            <w:r>
              <w:rPr>
                <w:b/>
              </w:rPr>
              <w:t>4.3</w:t>
            </w:r>
            <w:r>
              <w:t xml:space="preserve"> Aumento de los conocimientos y competencias en materia de PI en todos los Estados miembros.</w:t>
            </w:r>
          </w:p>
          <w:p w14:paraId="7CADADA4" w14:textId="77777777" w:rsidR="00580ECC" w:rsidRPr="005D72F4" w:rsidRDefault="00580ECC" w:rsidP="00767F0D">
            <w:pPr>
              <w:pStyle w:val="TableParagraph"/>
              <w:spacing w:before="120" w:after="120"/>
              <w:ind w:left="81" w:right="224"/>
            </w:pPr>
            <w:r>
              <w:rPr>
                <w:b/>
              </w:rPr>
              <w:t>4.4</w:t>
            </w:r>
            <w:r>
              <w:t xml:space="preserve"> Más innovadores, creadores, pymes, universidades, instituciones de investigación y comunidades sacan provecho de la PI.</w:t>
            </w:r>
          </w:p>
        </w:tc>
      </w:tr>
      <w:tr w:rsidR="00580ECC" w:rsidRPr="005D72F4" w14:paraId="678E6CC2" w14:textId="77777777" w:rsidTr="00767F0D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3C6E1E55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0" w:lineRule="exact"/>
              <w:ind w:left="821" w:right="72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Riesgos y estrategias</w:t>
            </w:r>
          </w:p>
        </w:tc>
      </w:tr>
      <w:tr w:rsidR="00580ECC" w:rsidRPr="00F8661A" w14:paraId="31124FE1" w14:textId="77777777" w:rsidTr="00767F0D">
        <w:trPr>
          <w:trHeight w:val="424"/>
        </w:trPr>
        <w:tc>
          <w:tcPr>
            <w:tcW w:w="9352" w:type="dxa"/>
            <w:gridSpan w:val="2"/>
            <w:shd w:val="clear" w:color="auto" w:fill="FFFFFF"/>
          </w:tcPr>
          <w:p w14:paraId="5DEF2C0F" w14:textId="77777777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rPr>
                <w:b/>
                <w:i/>
              </w:rPr>
              <w:t xml:space="preserve">Riesgo 1: </w:t>
            </w:r>
            <w:r>
              <w:t>Participación limitada de las partes interesadas a lo largo del proyecto.</w:t>
            </w:r>
          </w:p>
          <w:p w14:paraId="3B7A36A2" w14:textId="4D1B8800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rPr>
                <w:b/>
                <w:i/>
              </w:rPr>
              <w:t>Mitigación 1:</w:t>
            </w:r>
            <w:r w:rsidR="004A13D3">
              <w:rPr>
                <w:b/>
                <w:i/>
              </w:rPr>
              <w:t xml:space="preserve"> </w:t>
            </w:r>
            <w:r>
              <w:t>Se elaborará un plan integral para alentar la participación de las partes interesadas, que incluye a las comunidades locales, el mundo académico, el gobierno y la industria.</w:t>
            </w:r>
          </w:p>
          <w:p w14:paraId="5A8EB001" w14:textId="2D2D859D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rPr>
                <w:b/>
                <w:i/>
              </w:rPr>
              <w:t>Riesgo 2:</w:t>
            </w:r>
            <w:r w:rsidR="004A13D3">
              <w:rPr>
                <w:b/>
              </w:rPr>
              <w:t xml:space="preserve"> </w:t>
            </w:r>
            <w:r>
              <w:t>Insuficiencia de datos disponibles y de calidad.</w:t>
            </w:r>
          </w:p>
          <w:p w14:paraId="2F02F752" w14:textId="4F7D0B9B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  <w:iCs/>
              </w:rPr>
            </w:pPr>
            <w:r>
              <w:rPr>
                <w:b/>
                <w:i/>
              </w:rPr>
              <w:t>Mitigación 2:</w:t>
            </w:r>
            <w:r w:rsidR="004A13D3">
              <w:rPr>
                <w:b/>
              </w:rPr>
              <w:t xml:space="preserve"> </w:t>
            </w:r>
            <w:r>
              <w:t>Se utilizarán diferentes metodologías de investigación para garantizar una recopilación de datos suficiente y precisa, tanto a nivel primario como secundario.</w:t>
            </w:r>
            <w:r w:rsidR="004A13D3">
              <w:t xml:space="preserve"> </w:t>
            </w:r>
            <w:r>
              <w:t xml:space="preserve">Se </w:t>
            </w:r>
            <w:r w:rsidR="00CA0207">
              <w:t>promover</w:t>
            </w:r>
            <w:r w:rsidR="00CA0207">
              <w:rPr>
                <w:lang w:val="es-419"/>
              </w:rPr>
              <w:t>á</w:t>
            </w:r>
            <w:r>
              <w:t xml:space="preserve"> un </w:t>
            </w:r>
            <w:r w:rsidR="008576D7">
              <w:t xml:space="preserve">mayor </w:t>
            </w:r>
            <w:r>
              <w:t xml:space="preserve">compromiso y </w:t>
            </w:r>
            <w:r w:rsidR="003A6F37">
              <w:t xml:space="preserve">una </w:t>
            </w:r>
            <w:r>
              <w:t xml:space="preserve">colaboración </w:t>
            </w:r>
            <w:r w:rsidR="003A6F37">
              <w:t xml:space="preserve">estrecha </w:t>
            </w:r>
            <w:r>
              <w:t>con expertos e instituciones locales para acceder a información contextual, pertinente y fiable.</w:t>
            </w:r>
          </w:p>
          <w:p w14:paraId="1FD6E047" w14:textId="0857E13A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  <w:b/>
              </w:rPr>
            </w:pPr>
            <w:r>
              <w:rPr>
                <w:b/>
                <w:i/>
              </w:rPr>
              <w:t>Riesgo 3:</w:t>
            </w:r>
            <w:r w:rsidR="004A13D3">
              <w:rPr>
                <w:b/>
              </w:rPr>
              <w:t xml:space="preserve"> </w:t>
            </w:r>
            <w:r>
              <w:t>Posibles limitaciones tecnológicas en determinadas regiones.</w:t>
            </w:r>
          </w:p>
          <w:p w14:paraId="1166D551" w14:textId="2629CCF4" w:rsidR="00580ECC" w:rsidRPr="00E24D8B" w:rsidRDefault="00580ECC" w:rsidP="00767F0D">
            <w:pPr>
              <w:ind w:left="115"/>
            </w:pPr>
            <w:r>
              <w:rPr>
                <w:b/>
                <w:i/>
              </w:rPr>
              <w:t>Mitigación 3:</w:t>
            </w:r>
            <w:r w:rsidR="004A13D3">
              <w:rPr>
                <w:b/>
              </w:rPr>
              <w:t xml:space="preserve"> </w:t>
            </w:r>
            <w:r>
              <w:t>Teniendo en cuenta los diversos niveles de accesibilidad debidos a la ubicación geográfica y la topografía, se adoptarán tecnologías de comunicación y enfoques de reunión apropiados</w:t>
            </w:r>
            <w:r w:rsidR="006C7300">
              <w:t xml:space="preserve"> con el fin de</w:t>
            </w:r>
            <w:r>
              <w:t xml:space="preserve"> ofrecer la flexibilidad necesaria </w:t>
            </w:r>
            <w:r w:rsidR="006C7300">
              <w:t xml:space="preserve">para </w:t>
            </w:r>
            <w:r w:rsidR="004A0DC9">
              <w:t>fortalecer</w:t>
            </w:r>
            <w:r w:rsidR="00A4106C">
              <w:t xml:space="preserve"> el </w:t>
            </w:r>
            <w:r>
              <w:t>compromiso con las comunidades locales y las partes interesadas.</w:t>
            </w:r>
          </w:p>
        </w:tc>
      </w:tr>
    </w:tbl>
    <w:p w14:paraId="268F4135" w14:textId="77777777" w:rsidR="00580ECC" w:rsidRPr="00E144D0" w:rsidRDefault="00580ECC" w:rsidP="00580ECC"/>
    <w:p w14:paraId="60C55941" w14:textId="77777777" w:rsidR="00580ECC" w:rsidRDefault="00580ECC" w:rsidP="00580ECC">
      <w:pPr>
        <w:sectPr w:rsidR="00580ECC" w:rsidSect="008A24EF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14:paraId="1D31FCCD" w14:textId="7B9DE871" w:rsidR="00D66DFF" w:rsidRDefault="00580ECC" w:rsidP="00580ECC">
      <w:pPr>
        <w:pStyle w:val="ListParagraph"/>
        <w:numPr>
          <w:ilvl w:val="0"/>
          <w:numId w:val="8"/>
        </w:numPr>
        <w:spacing w:after="120"/>
        <w:ind w:left="0" w:firstLine="0"/>
        <w:rPr>
          <w:b/>
        </w:rPr>
      </w:pPr>
      <w:r>
        <w:rPr>
          <w:b/>
        </w:rPr>
        <w:lastRenderedPageBreak/>
        <w:t xml:space="preserve">CALENDARIO </w:t>
      </w:r>
      <w:r w:rsidR="00693AFA">
        <w:rPr>
          <w:b/>
        </w:rPr>
        <w:t>PROVISIONAL</w:t>
      </w:r>
      <w:r>
        <w:rPr>
          <w:b/>
        </w:rPr>
        <w:t xml:space="preserve"> DE EJECUCIÓN</w:t>
      </w:r>
    </w:p>
    <w:tbl>
      <w:tblPr>
        <w:tblW w:w="5000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27"/>
        <w:gridCol w:w="563"/>
        <w:gridCol w:w="563"/>
        <w:gridCol w:w="563"/>
        <w:gridCol w:w="575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580ECC" w:rsidRPr="00197D9F" w14:paraId="45C733C0" w14:textId="77777777" w:rsidTr="00767F0D">
        <w:trPr>
          <w:trHeight w:val="20"/>
        </w:trPr>
        <w:tc>
          <w:tcPr>
            <w:tcW w:w="2605" w:type="pct"/>
            <w:vMerge w:val="restart"/>
            <w:shd w:val="clear" w:color="auto" w:fill="auto"/>
            <w:vAlign w:val="center"/>
          </w:tcPr>
          <w:p w14:paraId="521CFBEC" w14:textId="77777777" w:rsidR="00580ECC" w:rsidRPr="00126689" w:rsidRDefault="00580ECC" w:rsidP="00767F0D">
            <w:pPr>
              <w:rPr>
                <w:b/>
              </w:rPr>
            </w:pPr>
            <w:r>
              <w:rPr>
                <w:b/>
              </w:rPr>
              <w:t>Aportes concretos del proyecto</w:t>
            </w:r>
          </w:p>
        </w:tc>
        <w:tc>
          <w:tcPr>
            <w:tcW w:w="2395" w:type="pct"/>
            <w:gridSpan w:val="12"/>
            <w:shd w:val="clear" w:color="auto" w:fill="auto"/>
          </w:tcPr>
          <w:p w14:paraId="3CF95F3B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Trimestres</w:t>
            </w:r>
          </w:p>
        </w:tc>
      </w:tr>
      <w:tr w:rsidR="00580ECC" w:rsidRPr="00197D9F" w14:paraId="13F2ED78" w14:textId="77777777" w:rsidTr="00AA0DC7">
        <w:trPr>
          <w:trHeight w:val="20"/>
        </w:trPr>
        <w:tc>
          <w:tcPr>
            <w:tcW w:w="2605" w:type="pct"/>
            <w:vMerge/>
            <w:shd w:val="clear" w:color="auto" w:fill="auto"/>
          </w:tcPr>
          <w:p w14:paraId="06191403" w14:textId="77777777" w:rsidR="00580ECC" w:rsidRPr="00126689" w:rsidRDefault="00580ECC" w:rsidP="00767F0D">
            <w:pPr>
              <w:rPr>
                <w:b/>
              </w:rPr>
            </w:pPr>
          </w:p>
        </w:tc>
        <w:tc>
          <w:tcPr>
            <w:tcW w:w="804" w:type="pct"/>
            <w:gridSpan w:val="4"/>
            <w:shd w:val="clear" w:color="auto" w:fill="auto"/>
          </w:tcPr>
          <w:p w14:paraId="0B21609B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Año 1</w:t>
            </w:r>
          </w:p>
        </w:tc>
        <w:tc>
          <w:tcPr>
            <w:tcW w:w="799" w:type="pct"/>
            <w:gridSpan w:val="4"/>
            <w:shd w:val="clear" w:color="auto" w:fill="auto"/>
          </w:tcPr>
          <w:p w14:paraId="1A83BF8D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Año 2</w:t>
            </w:r>
          </w:p>
        </w:tc>
        <w:tc>
          <w:tcPr>
            <w:tcW w:w="791" w:type="pct"/>
            <w:gridSpan w:val="4"/>
            <w:shd w:val="clear" w:color="auto" w:fill="auto"/>
          </w:tcPr>
          <w:p w14:paraId="4B584243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Año 3</w:t>
            </w:r>
          </w:p>
        </w:tc>
      </w:tr>
      <w:tr w:rsidR="00580ECC" w:rsidRPr="00197D9F" w14:paraId="78F136AA" w14:textId="77777777" w:rsidTr="00AA0DC7">
        <w:trPr>
          <w:trHeight w:val="20"/>
        </w:trPr>
        <w:tc>
          <w:tcPr>
            <w:tcW w:w="2605" w:type="pct"/>
            <w:vMerge/>
            <w:shd w:val="clear" w:color="auto" w:fill="auto"/>
          </w:tcPr>
          <w:p w14:paraId="698CC200" w14:textId="77777777" w:rsidR="00580ECC" w:rsidRPr="00126689" w:rsidRDefault="00580ECC" w:rsidP="0076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0" w:type="pct"/>
            <w:shd w:val="clear" w:color="auto" w:fill="D9D9D9" w:themeFill="background1" w:themeFillShade="D9"/>
          </w:tcPr>
          <w:p w14:paraId="57FB56AF" w14:textId="77777777" w:rsidR="00580ECC" w:rsidRPr="00126689" w:rsidRDefault="00580ECC" w:rsidP="00767F0D">
            <w:pPr>
              <w:jc w:val="center"/>
            </w:pPr>
            <w:r>
              <w:t>T1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60396BDC" w14:textId="77777777" w:rsidR="00580ECC" w:rsidRPr="00126689" w:rsidRDefault="00580ECC" w:rsidP="00767F0D">
            <w:pPr>
              <w:jc w:val="center"/>
            </w:pPr>
            <w:r>
              <w:t>T2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15EBD388" w14:textId="77777777" w:rsidR="00580ECC" w:rsidRPr="00126689" w:rsidRDefault="00580ECC" w:rsidP="00767F0D">
            <w:pPr>
              <w:jc w:val="center"/>
            </w:pPr>
            <w:r>
              <w:t>T3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14:paraId="131EBE82" w14:textId="77777777" w:rsidR="00580ECC" w:rsidRPr="00126689" w:rsidRDefault="00580ECC" w:rsidP="00767F0D">
            <w:pPr>
              <w:jc w:val="center"/>
            </w:pPr>
            <w:r>
              <w:t>T4</w:t>
            </w:r>
          </w:p>
        </w:tc>
        <w:tc>
          <w:tcPr>
            <w:tcW w:w="200" w:type="pct"/>
            <w:shd w:val="clear" w:color="auto" w:fill="auto"/>
          </w:tcPr>
          <w:p w14:paraId="1D7F3A40" w14:textId="77777777" w:rsidR="00580ECC" w:rsidRPr="00126689" w:rsidRDefault="00580ECC" w:rsidP="00767F0D">
            <w:pPr>
              <w:jc w:val="center"/>
            </w:pPr>
            <w:r>
              <w:t>T1</w:t>
            </w:r>
          </w:p>
        </w:tc>
        <w:tc>
          <w:tcPr>
            <w:tcW w:w="200" w:type="pct"/>
            <w:shd w:val="clear" w:color="auto" w:fill="auto"/>
          </w:tcPr>
          <w:p w14:paraId="34EA657E" w14:textId="77777777" w:rsidR="00580ECC" w:rsidRPr="00126689" w:rsidRDefault="00580ECC" w:rsidP="00767F0D">
            <w:pPr>
              <w:jc w:val="center"/>
            </w:pPr>
            <w:r>
              <w:t>T2</w:t>
            </w:r>
          </w:p>
        </w:tc>
        <w:tc>
          <w:tcPr>
            <w:tcW w:w="200" w:type="pct"/>
            <w:shd w:val="clear" w:color="auto" w:fill="auto"/>
          </w:tcPr>
          <w:p w14:paraId="1F446E1D" w14:textId="77777777" w:rsidR="00580ECC" w:rsidRPr="00126689" w:rsidRDefault="00580ECC" w:rsidP="00767F0D">
            <w:pPr>
              <w:jc w:val="center"/>
            </w:pPr>
            <w:r>
              <w:t>T3</w:t>
            </w:r>
          </w:p>
        </w:tc>
        <w:tc>
          <w:tcPr>
            <w:tcW w:w="200" w:type="pct"/>
            <w:shd w:val="clear" w:color="auto" w:fill="auto"/>
          </w:tcPr>
          <w:p w14:paraId="1F41121F" w14:textId="77777777" w:rsidR="00580ECC" w:rsidRPr="00126689" w:rsidRDefault="00580ECC" w:rsidP="00767F0D">
            <w:pPr>
              <w:jc w:val="center"/>
            </w:pPr>
            <w:r>
              <w:t>T4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1E6102F6" w14:textId="77777777" w:rsidR="00580ECC" w:rsidRPr="00126689" w:rsidRDefault="00580ECC" w:rsidP="00767F0D">
            <w:pPr>
              <w:jc w:val="center"/>
            </w:pPr>
            <w:r>
              <w:t>T1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0ABB46BA" w14:textId="77777777" w:rsidR="00580ECC" w:rsidRPr="00126689" w:rsidRDefault="00580ECC" w:rsidP="00767F0D">
            <w:pPr>
              <w:jc w:val="center"/>
            </w:pPr>
            <w:r>
              <w:t>T2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4D94F941" w14:textId="77777777" w:rsidR="00580ECC" w:rsidRPr="00126689" w:rsidRDefault="00580ECC" w:rsidP="00767F0D">
            <w:pPr>
              <w:jc w:val="center"/>
            </w:pPr>
            <w:r>
              <w:t>T3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14:paraId="672B087B" w14:textId="77777777" w:rsidR="00580ECC" w:rsidRPr="00126689" w:rsidRDefault="00580ECC" w:rsidP="00767F0D">
            <w:pPr>
              <w:jc w:val="center"/>
            </w:pPr>
            <w:r>
              <w:t>T4</w:t>
            </w:r>
          </w:p>
        </w:tc>
      </w:tr>
      <w:tr w:rsidR="00AA0DC7" w:rsidRPr="00197D9F" w14:paraId="2EAC2C73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25AEF007" w14:textId="77777777" w:rsidR="00AA0DC7" w:rsidRDefault="00AA0DC7" w:rsidP="00AA0DC7">
            <w:pPr>
              <w:rPr>
                <w:sz w:val="20"/>
              </w:rPr>
            </w:pPr>
            <w:r w:rsidRPr="00166337">
              <w:rPr>
                <w:sz w:val="20"/>
              </w:rPr>
              <w:t>Actividades previas a la ejecución:</w:t>
            </w:r>
            <w:r w:rsidRPr="00166337">
              <w:rPr>
                <w:rStyle w:val="FootnoteReference"/>
                <w:sz w:val="20"/>
              </w:rPr>
              <w:footnoteReference w:id="3"/>
            </w:r>
          </w:p>
          <w:p w14:paraId="4AA3189F" w14:textId="2E5706F2" w:rsidR="00AA0DC7" w:rsidRDefault="00AA0DC7" w:rsidP="00AA0DC7">
            <w:pPr>
              <w:rPr>
                <w:sz w:val="20"/>
              </w:rPr>
            </w:pPr>
            <w:r w:rsidRPr="00166337">
              <w:rPr>
                <w:sz w:val="20"/>
              </w:rPr>
              <w:t xml:space="preserve">- </w:t>
            </w:r>
            <w:r>
              <w:rPr>
                <w:sz w:val="20"/>
              </w:rPr>
              <w:t>Expres</w:t>
            </w:r>
            <w:r w:rsidRPr="00166337">
              <w:rPr>
                <w:sz w:val="20"/>
              </w:rPr>
              <w:t xml:space="preserve">ión de </w:t>
            </w:r>
            <w:r>
              <w:rPr>
                <w:sz w:val="20"/>
              </w:rPr>
              <w:t xml:space="preserve">interés de los </w:t>
            </w:r>
            <w:r w:rsidRPr="00166337">
              <w:rPr>
                <w:sz w:val="20"/>
              </w:rPr>
              <w:t>países</w:t>
            </w:r>
          </w:p>
          <w:p w14:paraId="5429D3C5" w14:textId="712F493A" w:rsidR="00AA0DC7" w:rsidRDefault="00AA0DC7" w:rsidP="00AA0DC7">
            <w:pPr>
              <w:ind w:left="160" w:hanging="160"/>
              <w:rPr>
                <w:sz w:val="20"/>
              </w:rPr>
            </w:pPr>
            <w:r w:rsidRPr="00166337">
              <w:rPr>
                <w:sz w:val="20"/>
              </w:rPr>
              <w:t xml:space="preserve">- </w:t>
            </w:r>
            <w:r>
              <w:rPr>
                <w:sz w:val="20"/>
              </w:rPr>
              <w:t>Contratación de un experto/expertos de ámbito internacional para llevar a cabo el estudio mundial</w:t>
            </w:r>
          </w:p>
          <w:p w14:paraId="6B07D25A" w14:textId="6DF4673F" w:rsidR="00AA0DC7" w:rsidRPr="00166337" w:rsidRDefault="00AA0DC7" w:rsidP="00AA0DC7">
            <w:pPr>
              <w:rPr>
                <w:sz w:val="20"/>
              </w:rPr>
            </w:pPr>
            <w:r w:rsidRPr="00166337">
              <w:rPr>
                <w:sz w:val="20"/>
              </w:rPr>
              <w:t>- Contratación de un becario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61DC301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ECEBE06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C5CE30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527DED7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440ACB7C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D2D402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C038F9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2FA8189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EC3AA53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36A13B6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782F39F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25C9180B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1938F28D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1E31F213" w14:textId="28F96E23" w:rsidR="00AA0DC7" w:rsidRPr="00166337" w:rsidRDefault="00AA0DC7" w:rsidP="00AA0DC7">
            <w:pPr>
              <w:pStyle w:val="TableParagraph"/>
              <w:ind w:right="140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Evaluación de los recursos y la información disponibles en relación con el desarrollo y la aplicación de un ecosistema para la protección y el uso comercial de las IG no agrícolas</w:t>
            </w:r>
            <w:r>
              <w:rPr>
                <w:sz w:val="20"/>
                <w:szCs w:val="20"/>
              </w:rPr>
              <w:t xml:space="preserve"> en cada país candidato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D208283" w14:textId="65F4E0FD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33BE3F5" w14:textId="018B70BD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BA51E53" w14:textId="46983EF1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58891457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1DDE44AB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2FD1FA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3B400BD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B8D3FFB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4DC5A9F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48D68D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FFAF8B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3A242F57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44787AF0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38BDCBD0" w14:textId="161E6C2F" w:rsidR="00AA0DC7" w:rsidRPr="00166337" w:rsidRDefault="00AA0DC7" w:rsidP="00AA0DC7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 xml:space="preserve">Taller con la participación de investigadores y partes interesadas para elaborar una metodología </w:t>
            </w:r>
            <w:r>
              <w:rPr>
                <w:sz w:val="20"/>
                <w:szCs w:val="20"/>
              </w:rPr>
              <w:t>y seleccionar países con el fin de</w:t>
            </w:r>
            <w:r w:rsidRPr="00166337">
              <w:rPr>
                <w:sz w:val="20"/>
                <w:szCs w:val="20"/>
              </w:rPr>
              <w:t xml:space="preserve"> estudiar el impacto de las IG no agrícolas en las comunidades locales y en la preservación o la recuperación de las artes y tradiciones locales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440B411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148D149" w14:textId="59B37ED0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191A096" w14:textId="5614D48B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4ACA3D69" w14:textId="18BAC269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4BA2B159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3B7A7E38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54910D8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3F181AE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ACC704D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FFCFAC9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72DCF6F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537B83B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2D32A612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5D112E44" w14:textId="77777777" w:rsidR="00AA0DC7" w:rsidRPr="00166337" w:rsidRDefault="00AA0DC7" w:rsidP="00AA0DC7">
            <w:pPr>
              <w:pStyle w:val="TableParagraph"/>
              <w:ind w:right="175"/>
              <w:rPr>
                <w:b/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Estudios de caso para documentar ejemplos de IG no agrícolas que han contribuido al desarrollo de las comunidades locales y a la preservación o la recuperación de las artes y tradiciones locales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728C1D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1A043F7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C5C613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F0AC9B4" w14:textId="362E51AD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0" w:type="pct"/>
            <w:vAlign w:val="center"/>
          </w:tcPr>
          <w:p w14:paraId="0BE90437" w14:textId="64D17859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05537558" w14:textId="5302E5D8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6DC96FC2" w14:textId="31385E72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63D1478E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EB309F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591705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78EA061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55AB719E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7432121B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0B19DB0E" w14:textId="77777777" w:rsidR="00AA0DC7" w:rsidRPr="00166337" w:rsidRDefault="00AA0DC7" w:rsidP="00AA0DC7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Talleres con la participación de las partes interesadas de los sectores público y privado para identificar las mejores prácticas, oportunidades y desafíos sobre la base de estudios de caso que sean pertinentes para su propio país o región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9F56BBE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733590D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7EC1978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799F0F3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17BD8ABF" w14:textId="47ED94C1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5D808D83" w14:textId="7A0714B0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0" w:type="pct"/>
            <w:vAlign w:val="center"/>
          </w:tcPr>
          <w:p w14:paraId="27C1C969" w14:textId="7CB191B5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50588D6C" w14:textId="432FB62E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0363EA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C0D6A8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9BC6DD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2CCDF4B8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0669AF55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3FED78CA" w14:textId="35C35B26" w:rsidR="00AA0DC7" w:rsidRPr="00166337" w:rsidRDefault="00AA0DC7" w:rsidP="00AA0DC7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 xml:space="preserve">Estudio a escala mundial, que incluya las mejores prácticas y las enseñanzas extraídas </w:t>
            </w:r>
            <w:r>
              <w:rPr>
                <w:sz w:val="20"/>
                <w:szCs w:val="20"/>
              </w:rPr>
              <w:t>con el fin de desarrollar y aplicar</w:t>
            </w:r>
            <w:r w:rsidRPr="00166337">
              <w:rPr>
                <w:sz w:val="20"/>
                <w:szCs w:val="20"/>
              </w:rPr>
              <w:t xml:space="preserve"> un ecosistema propicio para la protección y el uso comercial de las IG no agrícolas y los regímenes de calidad conexos, así como para la valorización y la preservación o la recuperación de las artes y tradiciones locales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43FB547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B1A1ABD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380BC78" w14:textId="186CCC12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5CCB3284" w14:textId="6BD1D0A2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7A5DD382" w14:textId="3BD803A2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7C880F18" w14:textId="2D15DFE8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0AB80914" w14:textId="781445C7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0" w:type="pct"/>
            <w:vAlign w:val="center"/>
          </w:tcPr>
          <w:p w14:paraId="5140F365" w14:textId="0DA15D4D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43C64D32" w14:textId="471B3B81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98C5966" w14:textId="333AACEF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84E568E" w14:textId="6D091C2C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405B376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2A76D94F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1F7810D8" w14:textId="77777777" w:rsidR="00AA0DC7" w:rsidRPr="00166337" w:rsidRDefault="00AA0DC7" w:rsidP="00AA0DC7">
            <w:pPr>
              <w:rPr>
                <w:b/>
                <w:iCs/>
                <w:sz w:val="20"/>
              </w:rPr>
            </w:pPr>
            <w:r w:rsidRPr="00166337">
              <w:rPr>
                <w:sz w:val="20"/>
              </w:rPr>
              <w:t>Conferencia para difundir los conocimientos adquiridos a un grupo más amplio de partes interesadas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C2AF473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6F0D2A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FCDC8E1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4A01768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CAEEF68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0E2367F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F571F1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4C511C2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EB12F93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4E7AF178" w14:textId="0FE381D0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D8E64FB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3AC4C99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61C6AA9D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2C7B86AA" w14:textId="77777777" w:rsidR="00AA0DC7" w:rsidRPr="00166337" w:rsidRDefault="00AA0DC7" w:rsidP="00AA0DC7">
            <w:pPr>
              <w:pStyle w:val="TableParagraph"/>
              <w:ind w:right="173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Material promocional sobre las IG no agrícolas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9E9EEDE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E7D7C96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F215A56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D9378E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4D91D98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F5234DA" w14:textId="25F7B047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3FC28D3A" w14:textId="2A32519C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vAlign w:val="center"/>
          </w:tcPr>
          <w:p w14:paraId="25B0B1A1" w14:textId="6771A1E4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69B32E0" w14:textId="0D5C87F7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AFB767F" w14:textId="31D8C3EE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BFDA5AC" w14:textId="5744ACF9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7CC9B8E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5CBCA4EA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1D8C3443" w14:textId="77777777" w:rsidR="00AA0DC7" w:rsidRPr="00166337" w:rsidRDefault="00AA0DC7" w:rsidP="00AA0DC7">
            <w:pPr>
              <w:rPr>
                <w:sz w:val="20"/>
              </w:rPr>
            </w:pPr>
            <w:r w:rsidRPr="00166337">
              <w:rPr>
                <w:sz w:val="20"/>
              </w:rPr>
              <w:t>Evaluación del proyecto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6BD9F0C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38B4562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0F1990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F88152D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2A160AC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1406941C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B6C9FAE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136C82D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DAA4AC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90290DF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27CB526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253E2921" w14:textId="00ACA34E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  <w:tr w:rsidR="00AA0DC7" w:rsidRPr="00197D9F" w14:paraId="18B92B9C" w14:textId="77777777" w:rsidTr="00AA0DC7">
        <w:trPr>
          <w:trHeight w:val="20"/>
        </w:trPr>
        <w:tc>
          <w:tcPr>
            <w:tcW w:w="2605" w:type="pct"/>
            <w:shd w:val="clear" w:color="auto" w:fill="auto"/>
          </w:tcPr>
          <w:p w14:paraId="4C0F7B40" w14:textId="77777777" w:rsidR="00AA0DC7" w:rsidRPr="00166337" w:rsidRDefault="00AA0DC7" w:rsidP="00AA0DC7">
            <w:pPr>
              <w:rPr>
                <w:sz w:val="20"/>
              </w:rPr>
            </w:pPr>
            <w:r w:rsidRPr="00166337">
              <w:rPr>
                <w:sz w:val="20"/>
              </w:rPr>
              <w:t>Acto paralelo del CDIP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8F822B7" w14:textId="7A018873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2587F81" w14:textId="27DCAEEC" w:rsidR="00AA0DC7" w:rsidRPr="00166337" w:rsidRDefault="00AA0DC7" w:rsidP="00AA0DC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820341C" w14:textId="582F5E96" w:rsidR="00AA0DC7" w:rsidRPr="00166337" w:rsidRDefault="00AA0DC7" w:rsidP="00AA0DC7">
            <w:pPr>
              <w:jc w:val="center"/>
              <w:rPr>
                <w:sz w:val="20"/>
              </w:rPr>
            </w:pPr>
            <w:r w:rsidRPr="00761F0A">
              <w:t>x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567BCB2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62D3463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F3FB40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9EA1FE5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25D68C9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2DCC5E4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AA07C6A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9D1DE60" w14:textId="77777777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634CE9FB" w14:textId="2C4C8BF1" w:rsidR="00AA0DC7" w:rsidRPr="00166337" w:rsidRDefault="00AA0DC7" w:rsidP="00AA0DC7">
            <w:pPr>
              <w:jc w:val="center"/>
              <w:rPr>
                <w:sz w:val="20"/>
              </w:rPr>
            </w:pPr>
          </w:p>
        </w:tc>
      </w:tr>
    </w:tbl>
    <w:p w14:paraId="12CAC8F4" w14:textId="72170F85" w:rsidR="00580ECC" w:rsidRDefault="00580ECC" w:rsidP="00CF384A">
      <w:pPr>
        <w:pStyle w:val="ListParagraph"/>
        <w:keepNext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>PRESUPUESTO DEL PROYECTO POR APORTE CONCRETO</w:t>
      </w:r>
      <w:r w:rsidR="00CF384A">
        <w:rPr>
          <w:rStyle w:val="FootnoteReference"/>
          <w:b/>
        </w:rPr>
        <w:footnoteReference w:id="4"/>
      </w:r>
    </w:p>
    <w:tbl>
      <w:tblPr>
        <w:tblW w:w="13949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3364"/>
        <w:gridCol w:w="1495"/>
        <w:gridCol w:w="1440"/>
        <w:gridCol w:w="1440"/>
        <w:gridCol w:w="1440"/>
        <w:gridCol w:w="1440"/>
        <w:gridCol w:w="1530"/>
        <w:gridCol w:w="1800"/>
      </w:tblGrid>
      <w:tr w:rsidR="00580ECC" w:rsidRPr="008B454A" w14:paraId="64C83DCB" w14:textId="77777777" w:rsidTr="00166337">
        <w:trPr>
          <w:trHeight w:val="404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C04D9" w14:textId="77777777" w:rsidR="00580ECC" w:rsidRPr="008B454A" w:rsidRDefault="00580ECC" w:rsidP="00CF384A">
            <w:pPr>
              <w:keepNext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(en francos suizos)</w:t>
            </w:r>
          </w:p>
        </w:tc>
        <w:tc>
          <w:tcPr>
            <w:tcW w:w="293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EA2A1E4" w14:textId="77777777" w:rsidR="00580ECC" w:rsidRPr="008B454A" w:rsidRDefault="00580ECC" w:rsidP="00CF384A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Año 1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0299659" w14:textId="77777777" w:rsidR="00580ECC" w:rsidRPr="008B454A" w:rsidRDefault="00580ECC" w:rsidP="00CF384A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Año 2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679AB2D" w14:textId="77777777" w:rsidR="00580ECC" w:rsidRPr="008B454A" w:rsidRDefault="00580ECC" w:rsidP="00CF384A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Año 3</w: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4A8A4D4" w14:textId="77777777" w:rsidR="00580ECC" w:rsidRPr="008B454A" w:rsidRDefault="00580ECC" w:rsidP="00CF384A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Total</w:t>
            </w:r>
          </w:p>
        </w:tc>
      </w:tr>
      <w:tr w:rsidR="00580ECC" w:rsidRPr="008B454A" w14:paraId="47298F2C" w14:textId="77777777" w:rsidTr="00166337">
        <w:trPr>
          <w:trHeight w:val="53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77A59" w14:textId="221457E8" w:rsidR="00580ECC" w:rsidRPr="008B454A" w:rsidRDefault="006922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Aportes concretos</w:t>
            </w:r>
            <w:r w:rsidR="00580ECC">
              <w:rPr>
                <w:rFonts w:ascii="Arial Narrow" w:hAnsi="Arial Narrow"/>
                <w:b/>
                <w:sz w:val="18"/>
              </w:rPr>
              <w:t xml:space="preserve"> del proyecto </w:t>
            </w:r>
          </w:p>
        </w:tc>
        <w:tc>
          <w:tcPr>
            <w:tcW w:w="1495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11D8DDC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de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5D80F8E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no relativos a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CD9A43D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de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47E6FFC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no relativos a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19AD663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de personal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C1F6483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no relativos a personal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5FD98C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580ECC" w:rsidRPr="008B454A" w14:paraId="06D99028" w14:textId="77777777" w:rsidTr="00166337">
        <w:trPr>
          <w:trHeight w:val="34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6777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Coordinación de proyectos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284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37C5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50E3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EFEE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633E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2A13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F11C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231 300</w:t>
            </w:r>
          </w:p>
        </w:tc>
      </w:tr>
      <w:tr w:rsidR="00580ECC" w:rsidRPr="008B454A" w14:paraId="1F64DCFE" w14:textId="77777777" w:rsidTr="00C34489"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BFCF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 los recursos y la información disponibles en relación con el desarrollo y la aplicación de un ecosistema para la protección y el uso comercial de las IG no agrícolas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5411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DE3C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7D80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8629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BC61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C902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393A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</w:tr>
      <w:tr w:rsidR="00580ECC" w:rsidRPr="008B454A" w14:paraId="4B663380" w14:textId="77777777" w:rsidTr="00166337">
        <w:trPr>
          <w:trHeight w:val="1106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EB60A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 con la participación de investigadores y partes interesadas para elaborar una metodología que permita estudiar el impacto de las IG no agrícolas en las comunidades locales y en la preservación o la recuperación de las artes y tradiciones locales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A9F8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8099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39 000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4BB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B893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C3E4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EEDB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21B8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39 000</w:t>
            </w:r>
          </w:p>
        </w:tc>
      </w:tr>
      <w:tr w:rsidR="00580ECC" w:rsidRPr="008B454A" w14:paraId="728E18B9" w14:textId="77777777" w:rsidTr="00166337">
        <w:trPr>
          <w:trHeight w:val="97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29735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Estudios de caso para documentar ejemplos de IG no agrícolas que han contribuido al desarrollo de las comunidades locales y a la preservación o la recuperación de las artes y tradiciones locales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FA0B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4C1B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7E5B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56B3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ED18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8285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1643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</w:tr>
      <w:tr w:rsidR="00580ECC" w:rsidRPr="008B454A" w14:paraId="515CF5CC" w14:textId="77777777" w:rsidTr="00166337">
        <w:trPr>
          <w:trHeight w:val="1124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75862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Talleres con la participación de las partes interesadas de los sectores público y privado para identificar las mejores prácticas, oportunidades y desafíos sobre la base de estudios de caso que sean pertinentes para su propio país o región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E6861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2D5B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D40D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C776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C9BD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2FAE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FE5B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42 000</w:t>
            </w:r>
          </w:p>
        </w:tc>
      </w:tr>
      <w:tr w:rsidR="00580ECC" w:rsidRPr="008B454A" w14:paraId="2EF8D030" w14:textId="77777777" w:rsidTr="00166337">
        <w:trPr>
          <w:trHeight w:val="34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E7C3B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 a escala mundial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0DD9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0E08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1DD7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9792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33 000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374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AEA3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33 000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86C8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7E5AEE9E" w14:textId="77777777" w:rsidTr="00166337">
        <w:trPr>
          <w:trHeight w:val="539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7840D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Conferencia para difundir los conocimientos adquiridos a un grupo más amplio de partes interesadas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1AC8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5A88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E9D2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ED84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BD4B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D324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F6D2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5C5AF814" w14:textId="77777777" w:rsidTr="00166337">
        <w:trPr>
          <w:trHeight w:val="305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11CDD" w14:textId="77777777" w:rsidR="00580ECC" w:rsidRPr="00472F70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Material promocional sobre las IG no agrícolas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3CE85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9D88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E380B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DBAA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7D9DA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15464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34 000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74B9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34 000</w:t>
            </w:r>
          </w:p>
        </w:tc>
      </w:tr>
      <w:tr w:rsidR="00580ECC" w:rsidRPr="008B454A" w14:paraId="22D87B96" w14:textId="77777777" w:rsidTr="00166337">
        <w:trPr>
          <w:trHeight w:val="278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C0184" w14:textId="0E3BD7F5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del proyecto</w:t>
            </w:r>
            <w:r w:rsidR="004A13D3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2EE2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760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FA58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E4C0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707B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02EF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726C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580ECC" w:rsidRPr="008B454A" w14:paraId="56EB98C9" w14:textId="77777777" w:rsidTr="00166337">
        <w:trPr>
          <w:trHeight w:val="332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9FFA8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 xml:space="preserve">Acto paralelo del CDIP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1CBE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7A6F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D5A5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F010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6A84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2A3F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9952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</w:tr>
      <w:tr w:rsidR="00580ECC" w:rsidRPr="008B454A" w14:paraId="6202D292" w14:textId="77777777" w:rsidTr="00166337">
        <w:trPr>
          <w:trHeight w:val="37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75149E3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Total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C4E6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87D1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126 100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3B3B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1936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212 100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1757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4514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237 100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E5AE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575 300</w:t>
            </w:r>
          </w:p>
        </w:tc>
      </w:tr>
    </w:tbl>
    <w:p w14:paraId="215505C8" w14:textId="77777777" w:rsidR="00580ECC" w:rsidRDefault="00580ECC" w:rsidP="00580ECC">
      <w:pPr>
        <w:spacing w:after="220"/>
      </w:pPr>
    </w:p>
    <w:p w14:paraId="55CB7BDB" w14:textId="77B7C4B7" w:rsidR="00580ECC" w:rsidRDefault="00580ECC" w:rsidP="00580ECC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t>PRESUPUESTO DEL PROYECTO POR CATEGORÍA DE GASTO</w:t>
      </w:r>
      <w:r w:rsidR="0009615B" w:rsidRPr="0009615B">
        <w:rPr>
          <w:rStyle w:val="FootnoteReference"/>
          <w:b/>
        </w:rPr>
        <w:t>3</w:t>
      </w:r>
    </w:p>
    <w:tbl>
      <w:tblPr>
        <w:tblW w:w="14060" w:type="dxa"/>
        <w:tblInd w:w="17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3364"/>
        <w:gridCol w:w="1057"/>
        <w:gridCol w:w="1097"/>
        <w:gridCol w:w="1400"/>
        <w:gridCol w:w="1186"/>
        <w:gridCol w:w="1213"/>
        <w:gridCol w:w="1299"/>
        <w:gridCol w:w="1139"/>
        <w:gridCol w:w="1254"/>
        <w:gridCol w:w="1051"/>
      </w:tblGrid>
      <w:tr w:rsidR="00580ECC" w:rsidRPr="008B454A" w14:paraId="1AF55439" w14:textId="77777777" w:rsidTr="00166337">
        <w:trPr>
          <w:trHeight w:val="317"/>
          <w:tblHeader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B7538" w14:textId="77777777" w:rsidR="00580ECC" w:rsidRPr="008B454A" w:rsidRDefault="00580ECC" w:rsidP="00767F0D">
            <w:pP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(en francos suizos)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1ACDE6E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Viajes, formación y subvenciones conexas </w:t>
            </w:r>
          </w:p>
        </w:tc>
        <w:tc>
          <w:tcPr>
            <w:tcW w:w="6091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FDDE9D0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Servicios contractuales</w:t>
            </w:r>
          </w:p>
        </w:tc>
        <w:tc>
          <w:tcPr>
            <w:tcW w:w="1051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F5FD82E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Total</w:t>
            </w:r>
          </w:p>
        </w:tc>
      </w:tr>
      <w:tr w:rsidR="00580ECC" w:rsidRPr="008B454A" w14:paraId="2E897F60" w14:textId="77777777" w:rsidTr="00166337">
        <w:trPr>
          <w:trHeight w:val="562"/>
          <w:tblHeader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CDDC1" w14:textId="146F6CD9" w:rsidR="00580ECC" w:rsidRPr="008B454A" w:rsidRDefault="006922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Aportes concretos del proyecto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C42728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Misiones del personal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A1EEE8B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Viajes de terceros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FB20922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Costos de formación y otras subvenciones para viajes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557DC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Conferencias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86C16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Publicaciones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EB767AD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Servicios contractuales individuales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D112FF6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Becas de la OMPI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69E196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Otros servicios contractuales</w:t>
            </w:r>
          </w:p>
        </w:tc>
        <w:tc>
          <w:tcPr>
            <w:tcW w:w="1051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FFFC94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580ECC" w:rsidRPr="008B454A" w14:paraId="608E7BC2" w14:textId="77777777" w:rsidTr="00166337">
        <w:trPr>
          <w:trHeight w:val="17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855E5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Coordinación de proyectos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4321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29EF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8E77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548A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108E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E944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A466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231 300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B872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CC3C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231 300</w:t>
            </w:r>
          </w:p>
        </w:tc>
      </w:tr>
      <w:tr w:rsidR="00580ECC" w:rsidRPr="008B454A" w14:paraId="7F84DDBF" w14:textId="77777777" w:rsidTr="006C6D41"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EA79A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 los recursos y la información disponibles en relación con el desarrollo y la aplicación de un ecosistema para la protección y el uso comercial de las IG no agrícolas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0AEE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2228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3ED8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B8B3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8818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E6CB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C88C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9443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9E14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</w:tr>
      <w:tr w:rsidR="00580ECC" w:rsidRPr="008B454A" w14:paraId="153E2CD4" w14:textId="77777777" w:rsidTr="00166337">
        <w:trPr>
          <w:trHeight w:val="124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BF0F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 con la participación de investigadores y partes interesadas para elaborar una metodología que permita estudiar el impacto de las IG no agrícolas en las comunidades locales y en la preservación o la recuperación de las artes y tradiciones locales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8AC1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FDA0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14 000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D3F2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C7C8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149B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4C33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1425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AA9B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EC95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39 000</w:t>
            </w:r>
          </w:p>
        </w:tc>
      </w:tr>
      <w:tr w:rsidR="00580ECC" w:rsidRPr="008B454A" w14:paraId="76DE8DA2" w14:textId="77777777" w:rsidTr="00166337">
        <w:trPr>
          <w:trHeight w:val="1088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A72E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Estudios de caso para documentar ejemplos de IG no agrícolas que han contribuido al desarrollo de las comunidades locales y a la preservación o la recuperación de las artes y tradiciones locales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77A2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65A1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5DC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A70D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6D89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1054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54 000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5855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9F63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73CA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</w:tr>
      <w:tr w:rsidR="00580ECC" w:rsidRPr="008B454A" w14:paraId="5B350260" w14:textId="77777777" w:rsidTr="00166337">
        <w:trPr>
          <w:trHeight w:val="115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C7E2E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Talleres con la participación de las partes interesadas de los sectores público y privado para identificar las mejores prácticas, oportunidades y desafíos sobre la base de estudios de caso que sean pertinentes para su propio país o región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18E2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6D65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9AA9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2144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1F00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2AB9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C9DC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E062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DFF3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42 000</w:t>
            </w:r>
          </w:p>
        </w:tc>
      </w:tr>
      <w:tr w:rsidR="00580ECC" w:rsidRPr="008B454A" w14:paraId="1803A489" w14:textId="77777777" w:rsidTr="00166337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9009B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 a escala mundial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90B1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AF7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75FF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867C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3401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DF00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EB95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985F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6220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4B21A407" w14:textId="77777777" w:rsidTr="00166337">
        <w:trPr>
          <w:trHeight w:val="449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BCE45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Conferencia para difundir los conocimientos adquiridos a un grupo más amplio de partes interesadas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5173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967C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E6D3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EA6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0906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11D4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D26D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84EE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8390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143137AE" w14:textId="77777777" w:rsidTr="006C6D41"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E877E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Material promocional sobre las IG no agrícolas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0DCA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D60A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302F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6E05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9D63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C60B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7FB4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F39E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DC5F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34 000</w:t>
            </w:r>
          </w:p>
        </w:tc>
      </w:tr>
      <w:tr w:rsidR="00580ECC" w:rsidRPr="008B454A" w14:paraId="287A4181" w14:textId="77777777" w:rsidTr="00166337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1CDAD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Evaluación del proyecto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C39E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6BE9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9A48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ABA4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9BFD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25B6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A2BD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1406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1ADE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580ECC" w:rsidRPr="008B454A" w14:paraId="6795E9AD" w14:textId="77777777" w:rsidTr="00166337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FB49F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Acto paralelo del CDIP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131E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3FB0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2176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8BEE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19B9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B7FC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1891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475F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D88C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</w:tr>
      <w:tr w:rsidR="00580ECC" w:rsidRPr="008B454A" w14:paraId="35F2B239" w14:textId="77777777" w:rsidTr="00166337">
        <w:trPr>
          <w:trHeight w:val="343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D327D71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Total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351F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40 000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6C123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49 000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3F5F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FD5B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32 000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727F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22 000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5486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158 000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7AC86" w14:textId="77777777" w:rsidR="00580ECC" w:rsidRPr="00727F4D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231 300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27C5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43 000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9634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575 300</w:t>
            </w:r>
          </w:p>
        </w:tc>
      </w:tr>
    </w:tbl>
    <w:p w14:paraId="3AAC1238" w14:textId="77777777" w:rsidR="00580ECC" w:rsidRDefault="00580ECC" w:rsidP="00580ECC">
      <w:pPr>
        <w:tabs>
          <w:tab w:val="left" w:pos="4069"/>
        </w:tabs>
        <w:jc w:val="center"/>
      </w:pPr>
    </w:p>
    <w:p w14:paraId="7643BC31" w14:textId="77777777" w:rsidR="00580ECC" w:rsidRDefault="00580ECC" w:rsidP="00580ECC">
      <w:pPr>
        <w:ind w:left="10206"/>
        <w:sectPr w:rsidR="00580ECC" w:rsidSect="00F50AEF">
          <w:headerReference w:type="first" r:id="rId20"/>
          <w:endnotePr>
            <w:numFmt w:val="decimal"/>
          </w:endnotePr>
          <w:pgSz w:w="16840" w:h="11907" w:orient="landscape" w:code="9"/>
          <w:pgMar w:top="1134" w:right="1418" w:bottom="1418" w:left="1350" w:header="510" w:footer="1021" w:gutter="0"/>
          <w:pgNumType w:start="8"/>
          <w:cols w:space="720"/>
          <w:titlePg/>
          <w:docGrid w:linePitch="299"/>
        </w:sectPr>
      </w:pPr>
      <w:r>
        <w:t>[Sigue el Anexo II]</w:t>
      </w:r>
    </w:p>
    <w:p w14:paraId="1F979971" w14:textId="67BBAB78" w:rsidR="00580ECC" w:rsidRDefault="00580ECC" w:rsidP="00580ECC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 xml:space="preserve">SOLICITUD </w:t>
      </w:r>
      <w:r w:rsidR="007145FF">
        <w:rPr>
          <w:b/>
        </w:rPr>
        <w:t>DE PARTICIPACIÓN</w:t>
      </w:r>
      <w:r>
        <w:rPr>
          <w:b/>
        </w:rPr>
        <w:t xml:space="preserve"> COMO PAÍS PILOTO</w:t>
      </w: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937"/>
      </w:tblGrid>
      <w:tr w:rsidR="00580ECC" w14:paraId="3CF57BD1" w14:textId="77777777" w:rsidTr="00767F0D">
        <w:trPr>
          <w:trHeight w:val="38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BEDA"/>
            <w:hideMark/>
          </w:tcPr>
          <w:p w14:paraId="15E63E6C" w14:textId="6DD4D65A" w:rsidR="00580ECC" w:rsidRDefault="00580ECC" w:rsidP="00767F0D">
            <w:pPr>
              <w:pStyle w:val="TableParagraph"/>
              <w:spacing w:before="85" w:line="256" w:lineRule="auto"/>
              <w:ind w:left="110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FORMULARIO DE SOLICITUD </w:t>
            </w:r>
            <w:r w:rsidR="007145FF">
              <w:rPr>
                <w:b/>
                <w:color w:val="FFFFFF"/>
              </w:rPr>
              <w:t>DE PARTICIPACIÓN</w:t>
            </w:r>
            <w:r>
              <w:rPr>
                <w:b/>
                <w:color w:val="FFFFFF"/>
              </w:rPr>
              <w:t xml:space="preserve"> </w:t>
            </w:r>
            <w:r w:rsidR="006F6CD2">
              <w:rPr>
                <w:b/>
                <w:color w:val="FFFFFF"/>
              </w:rPr>
              <w:t>EN EL ESTUDIO</w:t>
            </w:r>
          </w:p>
        </w:tc>
      </w:tr>
      <w:tr w:rsidR="00580ECC" w14:paraId="5FCC5ADC" w14:textId="77777777" w:rsidTr="00767F0D">
        <w:trPr>
          <w:trHeight w:val="43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BEDA"/>
            <w:hideMark/>
          </w:tcPr>
          <w:p w14:paraId="309BDED0" w14:textId="77777777" w:rsidR="00580ECC" w:rsidRDefault="00580ECC" w:rsidP="00767F0D">
            <w:pPr>
              <w:pStyle w:val="TableParagraph"/>
              <w:spacing w:before="107" w:line="256" w:lineRule="auto"/>
              <w:ind w:left="110"/>
              <w:rPr>
                <w:b/>
              </w:rPr>
            </w:pPr>
            <w:r>
              <w:rPr>
                <w:b/>
              </w:rPr>
              <w:t>Criterios de selección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BEDA"/>
            <w:hideMark/>
          </w:tcPr>
          <w:p w14:paraId="66BF9BE4" w14:textId="77777777" w:rsidR="00580ECC" w:rsidRDefault="00580ECC" w:rsidP="00767F0D">
            <w:pPr>
              <w:pStyle w:val="TableParagraph"/>
              <w:spacing w:before="107" w:line="256" w:lineRule="auto"/>
              <w:ind w:left="107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</w:tr>
      <w:tr w:rsidR="00580ECC" w14:paraId="0D178969" w14:textId="77777777" w:rsidTr="00767F0D">
        <w:trPr>
          <w:trHeight w:val="115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DC68C61" w14:textId="77777777" w:rsidR="00580ECC" w:rsidRDefault="00580ECC" w:rsidP="00767F0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before="150" w:line="256" w:lineRule="auto"/>
              <w:ind w:right="102"/>
            </w:pPr>
            <w:r>
              <w:t>Coordinador nacional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50432A5" w14:textId="0A1CEEE6" w:rsidR="00580ECC" w:rsidRDefault="00717779" w:rsidP="00E20E63">
            <w:pPr>
              <w:pStyle w:val="TableParagraph"/>
              <w:spacing w:before="39" w:line="256" w:lineRule="auto"/>
              <w:ind w:left="107" w:right="96"/>
            </w:pPr>
            <w:r>
              <w:t>D</w:t>
            </w:r>
            <w:r w:rsidR="00580ECC">
              <w:t xml:space="preserve">esignar a una persona, indicando el puesto </w:t>
            </w:r>
            <w:r w:rsidR="003E6453">
              <w:t xml:space="preserve">que ocupa </w:t>
            </w:r>
            <w:r w:rsidR="00580ECC">
              <w:t>y la organización</w:t>
            </w:r>
            <w:r w:rsidR="00117695">
              <w:t xml:space="preserve"> en la que trabaja</w:t>
            </w:r>
            <w:r w:rsidR="00580ECC">
              <w:t>, a fin de que actúe como coordinador nacional durante la ejecución del proyecto y como representante institucional del país.</w:t>
            </w:r>
          </w:p>
        </w:tc>
      </w:tr>
      <w:tr w:rsidR="00580ECC" w14:paraId="725D7189" w14:textId="77777777" w:rsidTr="00767F0D">
        <w:trPr>
          <w:trHeight w:val="421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AFF2DBA" w14:textId="77777777" w:rsidR="00580ECC" w:rsidRDefault="00580ECC" w:rsidP="00767F0D">
            <w:pPr>
              <w:pStyle w:val="TableParagraph"/>
              <w:tabs>
                <w:tab w:val="left" w:pos="470"/>
              </w:tabs>
              <w:spacing w:before="150" w:line="256" w:lineRule="auto"/>
              <w:ind w:left="475" w:right="101" w:hanging="360"/>
            </w:pPr>
            <w:r>
              <w:t>2.</w:t>
            </w:r>
            <w:r>
              <w:tab/>
              <w:t xml:space="preserve">Posibles instituciones participantes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D06C12" w14:textId="77777777" w:rsidR="00D66DFF" w:rsidRDefault="00717779" w:rsidP="00767F0D">
            <w:pPr>
              <w:pStyle w:val="TableParagraph"/>
              <w:spacing w:before="39" w:line="256" w:lineRule="auto"/>
              <w:ind w:left="107"/>
            </w:pPr>
            <w:r>
              <w:t>I</w:t>
            </w:r>
            <w:r w:rsidR="00580ECC">
              <w:t>ndicar el organismo o institución nacional que se encarga de:</w:t>
            </w:r>
          </w:p>
          <w:p w14:paraId="6E6132C5" w14:textId="63AE1E61" w:rsidR="00580ECC" w:rsidRDefault="00580ECC" w:rsidP="00767F0D">
            <w:pPr>
              <w:pStyle w:val="TableParagraph"/>
              <w:spacing w:before="41" w:line="256" w:lineRule="auto"/>
              <w:ind w:left="107"/>
            </w:pPr>
          </w:p>
          <w:p w14:paraId="04B0DC85" w14:textId="77777777" w:rsidR="00D66DFF" w:rsidRDefault="009A5422" w:rsidP="009A5422">
            <w:pPr>
              <w:pStyle w:val="Default"/>
              <w:numPr>
                <w:ilvl w:val="0"/>
                <w:numId w:val="15"/>
              </w:num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 xml:space="preserve">atos </w:t>
            </w:r>
            <w:r w:rsidR="002A6523">
              <w:rPr>
                <w:sz w:val="22"/>
              </w:rPr>
              <w:t>relativos al</w:t>
            </w:r>
            <w:r w:rsidR="00580ECC">
              <w:rPr>
                <w:sz w:val="22"/>
              </w:rPr>
              <w:t xml:space="preserve"> registro de objetos de propiedad intelectual (PI) y, en particular, </w:t>
            </w:r>
            <w:r>
              <w:rPr>
                <w:sz w:val="22"/>
              </w:rPr>
              <w:t xml:space="preserve">los </w:t>
            </w:r>
            <w:r w:rsidR="00580ECC">
              <w:rPr>
                <w:sz w:val="22"/>
              </w:rPr>
              <w:t xml:space="preserve">datos relacionados con las indicaciones geográficas (IG) </w:t>
            </w:r>
            <w:r w:rsidR="00580ECC" w:rsidRPr="009A5422">
              <w:rPr>
                <w:sz w:val="22"/>
              </w:rPr>
              <w:t>(ind</w:t>
            </w:r>
            <w:r w:rsidR="00717779">
              <w:rPr>
                <w:sz w:val="22"/>
              </w:rPr>
              <w:t>icar</w:t>
            </w:r>
            <w:r w:rsidR="00580ECC" w:rsidRPr="009A5422">
              <w:rPr>
                <w:sz w:val="22"/>
              </w:rPr>
              <w:t xml:space="preserve"> todos los necesarios en caso de haber más de uno)</w:t>
            </w:r>
            <w:r w:rsidRPr="009A5422">
              <w:rPr>
                <w:sz w:val="22"/>
              </w:rPr>
              <w:t>;</w:t>
            </w:r>
          </w:p>
          <w:p w14:paraId="249664D0" w14:textId="3BCEB98B" w:rsidR="00580ECC" w:rsidRDefault="00580ECC" w:rsidP="00767F0D">
            <w:pPr>
              <w:pStyle w:val="Default"/>
              <w:spacing w:line="256" w:lineRule="auto"/>
              <w:ind w:left="720"/>
              <w:rPr>
                <w:sz w:val="22"/>
                <w:szCs w:val="22"/>
              </w:rPr>
            </w:pPr>
          </w:p>
          <w:p w14:paraId="34AFE559" w14:textId="77777777" w:rsidR="00D66DFF" w:rsidRDefault="009A5422" w:rsidP="00767F0D">
            <w:pPr>
              <w:pStyle w:val="Default"/>
              <w:numPr>
                <w:ilvl w:val="0"/>
                <w:numId w:val="15"/>
              </w:num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estadísticos económicos:</w:t>
            </w:r>
          </w:p>
          <w:p w14:paraId="6AC8F354" w14:textId="77777777" w:rsidR="00D66DFF" w:rsidRDefault="00580ECC" w:rsidP="00767F0D">
            <w:pPr>
              <w:pStyle w:val="Default"/>
              <w:spacing w:line="256" w:lineRule="auto"/>
              <w:ind w:left="720"/>
              <w:rPr>
                <w:sz w:val="22"/>
              </w:rPr>
            </w:pPr>
            <w:r>
              <w:rPr>
                <w:sz w:val="22"/>
              </w:rPr>
              <w:t>(ind</w:t>
            </w:r>
            <w:r w:rsidR="00717779">
              <w:rPr>
                <w:sz w:val="22"/>
              </w:rPr>
              <w:t>icar</w:t>
            </w:r>
            <w:r>
              <w:rPr>
                <w:sz w:val="22"/>
              </w:rPr>
              <w:t xml:space="preserve"> todos los necesarios en caso de haber más de uno)</w:t>
            </w:r>
          </w:p>
          <w:p w14:paraId="3D1CCDAA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de encuestas sobre la industria</w:t>
            </w:r>
          </w:p>
          <w:p w14:paraId="594107CC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de encuestas sobre innovación</w:t>
            </w:r>
          </w:p>
          <w:p w14:paraId="3D6B5EEC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de encuestas sobre el empleo</w:t>
            </w:r>
          </w:p>
          <w:p w14:paraId="40DA60BA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o</w:t>
            </w:r>
            <w:r w:rsidR="00580ECC">
              <w:rPr>
                <w:sz w:val="22"/>
              </w:rPr>
              <w:t>tros datos económicos pertinentes</w:t>
            </w:r>
          </w:p>
          <w:p w14:paraId="3F0C172D" w14:textId="5B254BD0" w:rsidR="00580ECC" w:rsidRDefault="00580ECC" w:rsidP="00767F0D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14:paraId="4DE2016C" w14:textId="7CF76683" w:rsidR="00580ECC" w:rsidRDefault="00717779" w:rsidP="00767F0D">
            <w:pPr>
              <w:pStyle w:val="TableParagraph"/>
              <w:spacing w:before="41" w:line="256" w:lineRule="auto"/>
              <w:ind w:left="107"/>
            </w:pPr>
            <w:r>
              <w:t>F</w:t>
            </w:r>
            <w:r w:rsidR="007145FF">
              <w:t xml:space="preserve">acilitar </w:t>
            </w:r>
            <w:r w:rsidR="00580ECC">
              <w:t xml:space="preserve">los enlaces a la página web de la institución y el nombre de la persona </w:t>
            </w:r>
            <w:r w:rsidR="00272562">
              <w:t xml:space="preserve">técnica </w:t>
            </w:r>
            <w:r w:rsidR="00580ECC">
              <w:t>de contacto, cuando sea posible.</w:t>
            </w:r>
          </w:p>
        </w:tc>
      </w:tr>
      <w:tr w:rsidR="00580ECC" w14:paraId="0806E0DE" w14:textId="77777777" w:rsidTr="00767F0D">
        <w:trPr>
          <w:trHeight w:val="116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5D984CB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spacing w:before="150" w:line="256" w:lineRule="auto"/>
              <w:ind w:left="479" w:right="101"/>
            </w:pPr>
            <w:r>
              <w:t>Posible institución o instituciones nacionales de investigación asociadas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4C80224" w14:textId="1A26EA0E" w:rsidR="00580ECC" w:rsidRDefault="00717779" w:rsidP="00767F0D">
            <w:pPr>
              <w:pStyle w:val="TableParagraph"/>
              <w:spacing w:before="39" w:line="256" w:lineRule="auto"/>
              <w:ind w:left="107"/>
            </w:pPr>
            <w:r>
              <w:t>I</w:t>
            </w:r>
            <w:r w:rsidR="007145FF">
              <w:t xml:space="preserve">ndicar </w:t>
            </w:r>
            <w:r w:rsidR="00580ECC">
              <w:t>al menos una dependencia, organización o grupo de investigación existente del sistema académico que podría beneficiarse de estudios de la PI y, en particular, de aquellos relacionados con las indicaciones geográficas.</w:t>
            </w:r>
            <w:r w:rsidR="004A13D3">
              <w:t xml:space="preserve"> </w:t>
            </w:r>
            <w:r w:rsidR="00580ECC">
              <w:t>El caso típico sería una institución académica que realice investigaciones en el ámbito de la economía de la innovación o la PI.</w:t>
            </w:r>
          </w:p>
        </w:tc>
      </w:tr>
      <w:tr w:rsidR="00580ECC" w14:paraId="7BC81F19" w14:textId="77777777" w:rsidTr="00767F0D">
        <w:trPr>
          <w:trHeight w:val="66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AED6A8F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04" w:line="256" w:lineRule="auto"/>
              <w:ind w:left="480" w:right="102"/>
            </w:pPr>
            <w:r>
              <w:t>Datos de muestra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11DB57B" w14:textId="3F39E787" w:rsidR="00580ECC" w:rsidRDefault="00717779" w:rsidP="00767F0D">
            <w:pPr>
              <w:pStyle w:val="TableParagraph"/>
              <w:spacing w:before="104" w:line="256" w:lineRule="auto"/>
              <w:ind w:left="107"/>
            </w:pPr>
            <w:r>
              <w:t>P</w:t>
            </w:r>
            <w:r w:rsidR="007145FF">
              <w:t>roporcionar u</w:t>
            </w:r>
            <w:r w:rsidR="00580ECC">
              <w:rPr>
                <w:color w:val="000000"/>
              </w:rPr>
              <w:t xml:space="preserve">na muestra de los datos </w:t>
            </w:r>
            <w:r w:rsidR="002A6523">
              <w:rPr>
                <w:color w:val="000000"/>
              </w:rPr>
              <w:t>relativos a</w:t>
            </w:r>
            <w:r w:rsidR="00E10466">
              <w:rPr>
                <w:color w:val="000000"/>
              </w:rPr>
              <w:t>l</w:t>
            </w:r>
            <w:r w:rsidR="00580ECC">
              <w:rPr>
                <w:color w:val="000000"/>
              </w:rPr>
              <w:t xml:space="preserve"> registro de objetos de PI en el formato actual.</w:t>
            </w:r>
            <w:r w:rsidR="004A13D3">
              <w:rPr>
                <w:color w:val="000000"/>
              </w:rPr>
              <w:t xml:space="preserve"> </w:t>
            </w:r>
            <w:r w:rsidR="00580ECC">
              <w:rPr>
                <w:color w:val="000000"/>
              </w:rPr>
              <w:t xml:space="preserve">Se alienta a presentar muestras de datos adicionales </w:t>
            </w:r>
            <w:r w:rsidR="009D1351">
              <w:rPr>
                <w:color w:val="000000"/>
              </w:rPr>
              <w:t>sobre</w:t>
            </w:r>
            <w:r w:rsidR="00580ECC">
              <w:rPr>
                <w:color w:val="000000"/>
              </w:rPr>
              <w:t xml:space="preserve"> los datos estadísticos económicos.</w:t>
            </w:r>
          </w:p>
        </w:tc>
      </w:tr>
      <w:tr w:rsidR="00580ECC" w14:paraId="5FD8155B" w14:textId="77777777" w:rsidTr="00767F0D">
        <w:trPr>
          <w:trHeight w:val="94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75E061B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04" w:line="256" w:lineRule="auto"/>
              <w:ind w:left="480" w:right="102"/>
            </w:pPr>
            <w:r>
              <w:t>Declaración de interés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D1D15BE" w14:textId="64B6FC62" w:rsidR="00580ECC" w:rsidRDefault="00717779" w:rsidP="00767F0D">
            <w:pPr>
              <w:pStyle w:val="TableParagraph"/>
              <w:spacing w:before="104" w:line="256" w:lineRule="auto"/>
              <w:ind w:left="107"/>
              <w:rPr>
                <w:color w:val="000000"/>
              </w:rPr>
            </w:pPr>
            <w:r>
              <w:t>C</w:t>
            </w:r>
            <w:r w:rsidR="00580ECC">
              <w:t>onfirmar que los organismos de PI y de estadística del país solicitante están interesados en participar en el proyecto.</w:t>
            </w:r>
          </w:p>
        </w:tc>
      </w:tr>
      <w:tr w:rsidR="00580ECC" w14:paraId="65DD857B" w14:textId="77777777" w:rsidTr="00767F0D">
        <w:trPr>
          <w:trHeight w:val="87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FB81D4B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50" w:line="256" w:lineRule="auto"/>
              <w:ind w:left="475" w:right="101"/>
            </w:pPr>
            <w:r>
              <w:t>Compromiso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48D343" w14:textId="3BC5B464" w:rsidR="00580ECC" w:rsidRDefault="00717779" w:rsidP="00767F0D">
            <w:pPr>
              <w:pStyle w:val="TableParagraph"/>
              <w:spacing w:before="39" w:line="256" w:lineRule="auto"/>
              <w:ind w:left="107"/>
            </w:pPr>
            <w:r>
              <w:t>Expresar</w:t>
            </w:r>
            <w:r w:rsidR="00580ECC">
              <w:t xml:space="preserve"> </w:t>
            </w:r>
            <w:r>
              <w:t xml:space="preserve">el </w:t>
            </w:r>
            <w:r w:rsidR="00580ECC">
              <w:t xml:space="preserve">compromiso </w:t>
            </w:r>
            <w:r>
              <w:t xml:space="preserve">del país solicitante </w:t>
            </w:r>
            <w:r w:rsidR="00580ECC">
              <w:t>de dedicar los recursos y el apoyo logístico necesarios para la ejecución eficaz del proyecto y su sostenibilidad.</w:t>
            </w:r>
          </w:p>
        </w:tc>
      </w:tr>
      <w:tr w:rsidR="00580ECC" w14:paraId="4C7F142A" w14:textId="77777777" w:rsidTr="00767F0D">
        <w:trPr>
          <w:trHeight w:val="43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E56BF35" w14:textId="77777777" w:rsidR="00580ECC" w:rsidRDefault="00580ECC" w:rsidP="00767F0D">
            <w:pPr>
              <w:pStyle w:val="TableParagraph"/>
              <w:tabs>
                <w:tab w:val="left" w:pos="470"/>
              </w:tabs>
              <w:spacing w:before="107" w:line="256" w:lineRule="auto"/>
              <w:ind w:left="110" w:right="102"/>
            </w:pPr>
            <w:r>
              <w:t>7.</w:t>
            </w:r>
            <w:r>
              <w:tab/>
              <w:t>Comentarios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0F25A4D" w14:textId="46267463" w:rsidR="00580ECC" w:rsidRDefault="00717779" w:rsidP="00767F0D">
            <w:pPr>
              <w:pStyle w:val="TableParagraph"/>
              <w:spacing w:before="107" w:line="256" w:lineRule="auto"/>
              <w:ind w:left="107"/>
            </w:pPr>
            <w:r>
              <w:t>F</w:t>
            </w:r>
            <w:r w:rsidR="00580ECC">
              <w:t>acilitar cualquier otra información.</w:t>
            </w:r>
          </w:p>
        </w:tc>
      </w:tr>
    </w:tbl>
    <w:p w14:paraId="42356114" w14:textId="77777777" w:rsidR="00580ECC" w:rsidRDefault="00580ECC" w:rsidP="00580ECC">
      <w:pPr>
        <w:rPr>
          <w:b/>
        </w:rPr>
      </w:pPr>
    </w:p>
    <w:p w14:paraId="14DA2398" w14:textId="77777777" w:rsidR="00580ECC" w:rsidRDefault="00580ECC" w:rsidP="00580ECC">
      <w:pPr>
        <w:rPr>
          <w:b/>
        </w:rPr>
      </w:pPr>
    </w:p>
    <w:p w14:paraId="72422D6B" w14:textId="1B0100C9" w:rsidR="00152CEA" w:rsidRDefault="00580ECC" w:rsidP="00A932DD">
      <w:pPr>
        <w:spacing w:before="71"/>
        <w:ind w:left="5239" w:firstLine="431"/>
      </w:pPr>
      <w:r>
        <w:t>[Fin de los Anexos y del documento]</w:t>
      </w:r>
    </w:p>
    <w:sectPr w:rsidR="00152CEA" w:rsidSect="00697D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A6DA" w14:textId="77777777" w:rsidR="003D6B5B" w:rsidRDefault="003D6B5B">
      <w:r>
        <w:separator/>
      </w:r>
    </w:p>
  </w:endnote>
  <w:endnote w:type="continuationSeparator" w:id="0">
    <w:p w14:paraId="1F12A00E" w14:textId="77777777" w:rsidR="003D6B5B" w:rsidRPr="009D30E6" w:rsidRDefault="003D6B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8930DFB" w14:textId="77777777" w:rsidR="003D6B5B" w:rsidRPr="007E663E" w:rsidRDefault="003D6B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7F3152D" w14:textId="77777777" w:rsidR="003D6B5B" w:rsidRPr="007E663E" w:rsidRDefault="003D6B5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59D2" w14:textId="77777777" w:rsidR="00F50AEF" w:rsidRDefault="00F50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00EF" w14:textId="77777777" w:rsidR="00F50AEF" w:rsidRDefault="00F50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DD32" w14:textId="77777777" w:rsidR="00F50AEF" w:rsidRDefault="00F50A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CB1" w14:textId="77777777" w:rsidR="00697DB3" w:rsidRDefault="00697D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905" w14:textId="77777777" w:rsidR="00697DB3" w:rsidRDefault="00697D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4B7" w14:textId="77777777" w:rsidR="00697DB3" w:rsidRDefault="0069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0E8A" w14:textId="77777777" w:rsidR="003D6B5B" w:rsidRDefault="003D6B5B">
      <w:r>
        <w:separator/>
      </w:r>
    </w:p>
  </w:footnote>
  <w:footnote w:type="continuationSeparator" w:id="0">
    <w:p w14:paraId="7A5F43F5" w14:textId="77777777" w:rsidR="003D6B5B" w:rsidRPr="009D30E6" w:rsidRDefault="003D6B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BEFF85" w14:textId="77777777" w:rsidR="003D6B5B" w:rsidRPr="007E663E" w:rsidRDefault="003D6B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8F8A2CA" w14:textId="77777777" w:rsidR="003D6B5B" w:rsidRPr="007E663E" w:rsidRDefault="003D6B5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51689315" w14:textId="71AD4F85" w:rsidR="00A14EFE" w:rsidRPr="00A14EFE" w:rsidRDefault="00A14EFE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A14EFE">
        <w:rPr>
          <w:lang w:val="es-419"/>
        </w:rPr>
        <w:t xml:space="preserve"> El indicador de objetivo se evaluará durante la evaluación de la incidencia que concluirá dentro de los 5 años siguientes a la finalización del presente proyecto y no es responsabilidad de la entidad ejecutora del proyecto.</w:t>
      </w:r>
    </w:p>
  </w:footnote>
  <w:footnote w:id="3">
    <w:p w14:paraId="6D9E269F" w14:textId="27D6AF7D" w:rsidR="00AA0DC7" w:rsidRDefault="00AA0DC7" w:rsidP="00580ECC">
      <w:pPr>
        <w:pStyle w:val="FootnoteText"/>
      </w:pPr>
      <w:r>
        <w:rPr>
          <w:rStyle w:val="FootnoteReference"/>
        </w:rPr>
        <w:footnoteRef/>
      </w:r>
      <w:r>
        <w:t xml:space="preserve"> La ejecución se iniciará únicamente cuando se hayan llevado a cabo las actividades previas.</w:t>
      </w:r>
    </w:p>
  </w:footnote>
  <w:footnote w:id="4">
    <w:p w14:paraId="0033A300" w14:textId="77777777" w:rsidR="00CF384A" w:rsidRPr="00CF384A" w:rsidRDefault="00CF384A" w:rsidP="00CF384A">
      <w:pPr>
        <w:rPr>
          <w:sz w:val="18"/>
          <w:lang w:val="es-419"/>
        </w:rPr>
      </w:pPr>
      <w:r>
        <w:rPr>
          <w:rStyle w:val="FootnoteReference"/>
        </w:rPr>
        <w:footnoteRef/>
      </w:r>
      <w:r w:rsidRPr="00CF384A">
        <w:rPr>
          <w:lang w:val="es-419"/>
        </w:rPr>
        <w:t xml:space="preserve"> </w:t>
      </w:r>
      <w:r w:rsidRPr="00CF384A">
        <w:rPr>
          <w:sz w:val="18"/>
          <w:lang w:val="es-419"/>
        </w:rPr>
        <w:t>La asignación presupuestaria para cada resultado concreto del proyecto, según se indica en el cuadro, puede estar sujeta a cambios sin que ello afecte el presupuesto total del proyecto.</w:t>
      </w:r>
    </w:p>
    <w:p w14:paraId="79BB5B99" w14:textId="5800DF4F" w:rsidR="00CF384A" w:rsidRPr="00CF384A" w:rsidRDefault="00CF384A">
      <w:pPr>
        <w:pStyle w:val="FootnoteText"/>
        <w:rPr>
          <w:lang w:val="es-4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B78D" w14:textId="77777777" w:rsidR="00F50AEF" w:rsidRDefault="00F50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C8D" w14:textId="77777777" w:rsidR="00580ECC" w:rsidRPr="002326AB" w:rsidRDefault="00580ECC" w:rsidP="00477D6B">
    <w:pPr>
      <w:jc w:val="right"/>
      <w:rPr>
        <w:caps/>
      </w:rPr>
    </w:pPr>
  </w:p>
  <w:p w14:paraId="727252AB" w14:textId="77777777" w:rsidR="00580ECC" w:rsidRDefault="00580EC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 w14:paraId="26DA574B" w14:textId="77777777" w:rsidR="00580ECC" w:rsidRDefault="00580ECC" w:rsidP="00477D6B">
    <w:pPr>
      <w:jc w:val="right"/>
    </w:pPr>
  </w:p>
  <w:p w14:paraId="2153A4C0" w14:textId="77777777" w:rsidR="00580ECC" w:rsidRDefault="00580EC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911C" w14:textId="77777777" w:rsidR="00F50AEF" w:rsidRDefault="00F50A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A4F8" w14:textId="7421925B" w:rsidR="00580ECC" w:rsidRPr="004271CD" w:rsidRDefault="00580ECC" w:rsidP="008A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  <w:lang w:val="pt-BR"/>
      </w:rPr>
    </w:pPr>
    <w:r w:rsidRPr="004271CD">
      <w:rPr>
        <w:color w:val="000000"/>
        <w:lang w:val="pt-BR"/>
      </w:rPr>
      <w:t>CDIP/31/9</w:t>
    </w:r>
    <w:r w:rsidR="004271CD" w:rsidRPr="004271CD">
      <w:rPr>
        <w:color w:val="000000"/>
        <w:lang w:val="pt-BR"/>
      </w:rPr>
      <w:t xml:space="preserve"> R</w:t>
    </w:r>
    <w:r w:rsidR="004271CD">
      <w:rPr>
        <w:color w:val="000000"/>
        <w:lang w:val="pt-BR"/>
      </w:rPr>
      <w:t>ev.</w:t>
    </w:r>
  </w:p>
  <w:p w14:paraId="57879F6D" w14:textId="12C0BBDD" w:rsidR="00580ECC" w:rsidRPr="004271CD" w:rsidRDefault="00580ECC" w:rsidP="008A24EF">
    <w:pPr>
      <w:jc w:val="right"/>
      <w:rPr>
        <w:lang w:val="pt-BR"/>
      </w:rPr>
    </w:pPr>
    <w:r w:rsidRPr="004271CD">
      <w:rPr>
        <w:lang w:val="pt-BR"/>
      </w:rPr>
      <w:t xml:space="preserve">Anexo I, página </w:t>
    </w:r>
    <w:r>
      <w:fldChar w:fldCharType="begin"/>
    </w:r>
    <w:r w:rsidRPr="004271CD">
      <w:rPr>
        <w:lang w:val="pt-BR"/>
      </w:rPr>
      <w:instrText xml:space="preserve"> PAGE  \* MERGEFORMAT </w:instrText>
    </w:r>
    <w:r>
      <w:fldChar w:fldCharType="separate"/>
    </w:r>
    <w:r w:rsidRPr="004271CD">
      <w:rPr>
        <w:lang w:val="pt-BR"/>
      </w:rPr>
      <w:t>4</w:t>
    </w:r>
    <w:r>
      <w:fldChar w:fldCharType="end"/>
    </w:r>
  </w:p>
  <w:p w14:paraId="08FBF091" w14:textId="77777777" w:rsidR="00580ECC" w:rsidRPr="004271CD" w:rsidRDefault="00580ECC" w:rsidP="00477D6B">
    <w:pPr>
      <w:jc w:val="right"/>
      <w:rPr>
        <w:lang w:val="pt-BR"/>
      </w:rPr>
    </w:pPr>
  </w:p>
  <w:p w14:paraId="4448A798" w14:textId="77777777" w:rsidR="00580ECC" w:rsidRPr="004271CD" w:rsidRDefault="00580ECC" w:rsidP="00477D6B">
    <w:pPr>
      <w:jc w:val="right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A2B9" w14:textId="0016E375" w:rsidR="00580ECC" w:rsidRPr="00F321E0" w:rsidRDefault="00580ECC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CDIP/31/9</w:t>
    </w:r>
    <w:r w:rsidR="004271CD">
      <w:rPr>
        <w:color w:val="000000"/>
      </w:rPr>
      <w:t xml:space="preserve"> Rev.</w:t>
    </w:r>
  </w:p>
  <w:p w14:paraId="34DB43E9" w14:textId="1E23E6A2" w:rsidR="00580ECC" w:rsidRDefault="00580ECC" w:rsidP="00060751">
    <w:pPr>
      <w:jc w:val="right"/>
    </w:pPr>
    <w:r>
      <w:t>ANEXO I</w:t>
    </w:r>
  </w:p>
  <w:p w14:paraId="5AC91E08" w14:textId="77777777" w:rsidR="00580ECC" w:rsidRDefault="00580ECC">
    <w:pPr>
      <w:pStyle w:val="Header"/>
    </w:pPr>
  </w:p>
  <w:p w14:paraId="7091F152" w14:textId="77777777" w:rsidR="00580ECC" w:rsidRDefault="00580E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98D9" w14:textId="06430A38" w:rsidR="00580ECC" w:rsidRPr="004271CD" w:rsidRDefault="00580ECC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  <w:lang w:val="pt-BR"/>
      </w:rPr>
    </w:pPr>
    <w:r w:rsidRPr="004271CD">
      <w:rPr>
        <w:color w:val="000000"/>
        <w:lang w:val="pt-BR"/>
      </w:rPr>
      <w:t>CDIP/31/9</w:t>
    </w:r>
    <w:r w:rsidR="004271CD" w:rsidRPr="004271CD">
      <w:rPr>
        <w:color w:val="000000"/>
        <w:lang w:val="pt-BR"/>
      </w:rPr>
      <w:t xml:space="preserve"> R</w:t>
    </w:r>
    <w:r w:rsidR="004271CD">
      <w:rPr>
        <w:color w:val="000000"/>
        <w:lang w:val="pt-BR"/>
      </w:rPr>
      <w:t>ev.</w:t>
    </w:r>
  </w:p>
  <w:p w14:paraId="64A77BB2" w14:textId="77777777" w:rsidR="00580ECC" w:rsidRPr="004271CD" w:rsidRDefault="00580ECC" w:rsidP="00060751">
    <w:pPr>
      <w:jc w:val="right"/>
      <w:rPr>
        <w:lang w:val="pt-BR"/>
      </w:rPr>
    </w:pPr>
    <w:r w:rsidRPr="004271CD">
      <w:rPr>
        <w:lang w:val="pt-BR"/>
      </w:rPr>
      <w:t xml:space="preserve">Anexo I, página </w:t>
    </w:r>
    <w:r>
      <w:fldChar w:fldCharType="begin"/>
    </w:r>
    <w:r w:rsidRPr="004271CD">
      <w:rPr>
        <w:lang w:val="pt-BR"/>
      </w:rPr>
      <w:instrText xml:space="preserve"> PAGE  \* MERGEFORMAT </w:instrText>
    </w:r>
    <w:r>
      <w:fldChar w:fldCharType="separate"/>
    </w:r>
    <w:r w:rsidRPr="004271CD">
      <w:rPr>
        <w:lang w:val="pt-BR"/>
      </w:rPr>
      <w:t>7</w:t>
    </w:r>
    <w:r>
      <w:fldChar w:fldCharType="end"/>
    </w:r>
  </w:p>
  <w:p w14:paraId="084144B8" w14:textId="77777777" w:rsidR="00580ECC" w:rsidRPr="004271CD" w:rsidRDefault="00580ECC">
    <w:pPr>
      <w:pStyle w:val="Header"/>
      <w:rPr>
        <w:lang w:val="pt-BR"/>
      </w:rPr>
    </w:pPr>
  </w:p>
  <w:p w14:paraId="4AF5ED48" w14:textId="77777777" w:rsidR="00580ECC" w:rsidRPr="004271CD" w:rsidRDefault="00580ECC">
    <w:pPr>
      <w:pStyle w:val="Header"/>
      <w:rPr>
        <w:lang w:val="pt-B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B348" w14:textId="77777777" w:rsidR="00697DB3" w:rsidRDefault="00697D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8435" w14:textId="77777777" w:rsidR="00AE7F20" w:rsidRPr="00EB0D93" w:rsidRDefault="00697DB3" w:rsidP="00477D6B">
    <w:pPr>
      <w:jc w:val="right"/>
      <w:rPr>
        <w:caps/>
      </w:rPr>
    </w:pPr>
    <w:bookmarkStart w:id="5" w:name="Code2"/>
    <w:bookmarkEnd w:id="5"/>
    <w:r>
      <w:rPr>
        <w:caps/>
      </w:rPr>
      <w:t>CDIP/31/9</w:t>
    </w:r>
  </w:p>
  <w:p w14:paraId="70F092A8" w14:textId="77777777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0D93">
      <w:t>2</w:t>
    </w:r>
    <w:r>
      <w:fldChar w:fldCharType="end"/>
    </w:r>
  </w:p>
  <w:p w14:paraId="58373A15" w14:textId="77777777" w:rsidR="00AE7F20" w:rsidRDefault="00AE7F20" w:rsidP="00477D6B">
    <w:pPr>
      <w:jc w:val="right"/>
    </w:pPr>
  </w:p>
  <w:p w14:paraId="59BC112B" w14:textId="77777777" w:rsidR="00EC1AA7" w:rsidRDefault="00EC1AA7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60A7" w14:textId="4852EEE2" w:rsidR="00697DB3" w:rsidRDefault="00580ECC" w:rsidP="00580ECC">
    <w:pPr>
      <w:pStyle w:val="Header"/>
      <w:jc w:val="right"/>
    </w:pPr>
    <w:r>
      <w:t>CDIP/31/9</w:t>
    </w:r>
    <w:r w:rsidR="004271CD">
      <w:t xml:space="preserve"> Rev.</w:t>
    </w:r>
  </w:p>
  <w:p w14:paraId="0842C882" w14:textId="179DEA16" w:rsidR="00580ECC" w:rsidRDefault="00580ECC" w:rsidP="00580ECC">
    <w:pPr>
      <w:pStyle w:val="Header"/>
      <w:jc w:val="right"/>
    </w:pPr>
    <w:r>
      <w:t>ANEXO II</w:t>
    </w:r>
  </w:p>
  <w:p w14:paraId="2029FE66" w14:textId="06114F92" w:rsidR="00580ECC" w:rsidRDefault="00580ECC" w:rsidP="00580ECC">
    <w:pPr>
      <w:pStyle w:val="Header"/>
      <w:jc w:val="right"/>
    </w:pPr>
  </w:p>
  <w:p w14:paraId="61265693" w14:textId="77777777" w:rsidR="00580ECC" w:rsidRDefault="00580ECC" w:rsidP="00580E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21BD9"/>
    <w:multiLevelType w:val="hybridMultilevel"/>
    <w:tmpl w:val="8AF091F6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C46DC3"/>
    <w:multiLevelType w:val="hybridMultilevel"/>
    <w:tmpl w:val="AB6E4DD4"/>
    <w:lvl w:ilvl="0" w:tplc="C038B6FE">
      <w:numFmt w:val="bullet"/>
      <w:lvlText w:val="-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825AB"/>
    <w:multiLevelType w:val="hybridMultilevel"/>
    <w:tmpl w:val="EA4E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10" w15:restartNumberingAfterBreak="0">
    <w:nsid w:val="1DCB1F70"/>
    <w:multiLevelType w:val="hybridMultilevel"/>
    <w:tmpl w:val="5A46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DF37CA7"/>
    <w:multiLevelType w:val="hybridMultilevel"/>
    <w:tmpl w:val="ABB823CC"/>
    <w:lvl w:ilvl="0" w:tplc="0409001B">
      <w:start w:val="1"/>
      <w:numFmt w:val="lowerRoman"/>
      <w:lvlText w:val="%1."/>
      <w:lvlJc w:val="right"/>
      <w:pPr>
        <w:ind w:left="44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61" w:hanging="360"/>
      </w:pPr>
    </w:lvl>
    <w:lvl w:ilvl="2" w:tplc="100C001B" w:tentative="1">
      <w:start w:val="1"/>
      <w:numFmt w:val="lowerRoman"/>
      <w:lvlText w:val="%3."/>
      <w:lvlJc w:val="right"/>
      <w:pPr>
        <w:ind w:left="1881" w:hanging="180"/>
      </w:pPr>
    </w:lvl>
    <w:lvl w:ilvl="3" w:tplc="100C000F" w:tentative="1">
      <w:start w:val="1"/>
      <w:numFmt w:val="decimal"/>
      <w:lvlText w:val="%4."/>
      <w:lvlJc w:val="left"/>
      <w:pPr>
        <w:ind w:left="2601" w:hanging="360"/>
      </w:pPr>
    </w:lvl>
    <w:lvl w:ilvl="4" w:tplc="100C0019" w:tentative="1">
      <w:start w:val="1"/>
      <w:numFmt w:val="lowerLetter"/>
      <w:lvlText w:val="%5."/>
      <w:lvlJc w:val="left"/>
      <w:pPr>
        <w:ind w:left="3321" w:hanging="360"/>
      </w:pPr>
    </w:lvl>
    <w:lvl w:ilvl="5" w:tplc="100C001B" w:tentative="1">
      <w:start w:val="1"/>
      <w:numFmt w:val="lowerRoman"/>
      <w:lvlText w:val="%6."/>
      <w:lvlJc w:val="right"/>
      <w:pPr>
        <w:ind w:left="4041" w:hanging="180"/>
      </w:pPr>
    </w:lvl>
    <w:lvl w:ilvl="6" w:tplc="100C000F" w:tentative="1">
      <w:start w:val="1"/>
      <w:numFmt w:val="decimal"/>
      <w:lvlText w:val="%7."/>
      <w:lvlJc w:val="left"/>
      <w:pPr>
        <w:ind w:left="4761" w:hanging="360"/>
      </w:pPr>
    </w:lvl>
    <w:lvl w:ilvl="7" w:tplc="100C0019" w:tentative="1">
      <w:start w:val="1"/>
      <w:numFmt w:val="lowerLetter"/>
      <w:lvlText w:val="%8."/>
      <w:lvlJc w:val="left"/>
      <w:pPr>
        <w:ind w:left="5481" w:hanging="360"/>
      </w:pPr>
    </w:lvl>
    <w:lvl w:ilvl="8" w:tplc="100C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30D10508"/>
    <w:multiLevelType w:val="hybridMultilevel"/>
    <w:tmpl w:val="77DA6CA4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 w15:restartNumberingAfterBreak="0">
    <w:nsid w:val="310B40A5"/>
    <w:multiLevelType w:val="hybridMultilevel"/>
    <w:tmpl w:val="B4084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0B05"/>
    <w:multiLevelType w:val="hybridMultilevel"/>
    <w:tmpl w:val="CCF0C3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312478"/>
    <w:multiLevelType w:val="multilevel"/>
    <w:tmpl w:val="A484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333B0"/>
    <w:multiLevelType w:val="hybridMultilevel"/>
    <w:tmpl w:val="6E58A15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F56340"/>
    <w:multiLevelType w:val="hybridMultilevel"/>
    <w:tmpl w:val="6E58A152"/>
    <w:lvl w:ilvl="0" w:tplc="FFFFFFFF">
      <w:start w:val="1"/>
      <w:numFmt w:val="lowerRoman"/>
      <w:lvlText w:val="%1."/>
      <w:lvlJc w:val="righ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65545DD"/>
    <w:multiLevelType w:val="hybridMultilevel"/>
    <w:tmpl w:val="C256EB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3391987"/>
    <w:multiLevelType w:val="hybridMultilevel"/>
    <w:tmpl w:val="B4084C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7415">
    <w:abstractNumId w:val="6"/>
  </w:num>
  <w:num w:numId="2" w16cid:durableId="423306060">
    <w:abstractNumId w:val="18"/>
  </w:num>
  <w:num w:numId="3" w16cid:durableId="1428230405">
    <w:abstractNumId w:val="0"/>
  </w:num>
  <w:num w:numId="4" w16cid:durableId="1197961018">
    <w:abstractNumId w:val="20"/>
  </w:num>
  <w:num w:numId="5" w16cid:durableId="1718354425">
    <w:abstractNumId w:val="2"/>
  </w:num>
  <w:num w:numId="6" w16cid:durableId="1532495534">
    <w:abstractNumId w:val="11"/>
  </w:num>
  <w:num w:numId="7" w16cid:durableId="953906804">
    <w:abstractNumId w:val="9"/>
  </w:num>
  <w:num w:numId="8" w16cid:durableId="518204304">
    <w:abstractNumId w:val="7"/>
  </w:num>
  <w:num w:numId="9" w16cid:durableId="1734617693">
    <w:abstractNumId w:val="3"/>
  </w:num>
  <w:num w:numId="10" w16cid:durableId="1763261110">
    <w:abstractNumId w:val="19"/>
  </w:num>
  <w:num w:numId="11" w16cid:durableId="94442076">
    <w:abstractNumId w:val="21"/>
  </w:num>
  <w:num w:numId="12" w16cid:durableId="1964116815">
    <w:abstractNumId w:val="10"/>
  </w:num>
  <w:num w:numId="13" w16cid:durableId="2084637194">
    <w:abstractNumId w:val="8"/>
  </w:num>
  <w:num w:numId="14" w16cid:durableId="1098599200">
    <w:abstractNumId w:val="14"/>
  </w:num>
  <w:num w:numId="15" w16cid:durableId="1567301886">
    <w:abstractNumId w:val="24"/>
  </w:num>
  <w:num w:numId="16" w16cid:durableId="1950314092">
    <w:abstractNumId w:val="16"/>
  </w:num>
  <w:num w:numId="17" w16cid:durableId="73091897">
    <w:abstractNumId w:val="23"/>
  </w:num>
  <w:num w:numId="18" w16cid:durableId="372386058">
    <w:abstractNumId w:val="12"/>
  </w:num>
  <w:num w:numId="19" w16cid:durableId="470368695">
    <w:abstractNumId w:val="26"/>
  </w:num>
  <w:num w:numId="20" w16cid:durableId="1070690464">
    <w:abstractNumId w:val="15"/>
  </w:num>
  <w:num w:numId="21" w16cid:durableId="101729511">
    <w:abstractNumId w:val="27"/>
  </w:num>
  <w:num w:numId="22" w16cid:durableId="638339019">
    <w:abstractNumId w:val="17"/>
  </w:num>
  <w:num w:numId="23" w16cid:durableId="68336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0002492">
    <w:abstractNumId w:val="25"/>
  </w:num>
  <w:num w:numId="25" w16cid:durableId="1532837833">
    <w:abstractNumId w:val="4"/>
  </w:num>
  <w:num w:numId="26" w16cid:durableId="1032534382">
    <w:abstractNumId w:val="13"/>
  </w:num>
  <w:num w:numId="27" w16cid:durableId="2117824291">
    <w:abstractNumId w:val="1"/>
  </w:num>
  <w:num w:numId="28" w16cid:durableId="1319381153">
    <w:abstractNumId w:val="22"/>
  </w:num>
  <w:num w:numId="29" w16cid:durableId="1720013189">
    <w:abstractNumId w:val="28"/>
  </w:num>
  <w:num w:numId="30" w16cid:durableId="857353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B3"/>
    <w:rsid w:val="00010686"/>
    <w:rsid w:val="00025048"/>
    <w:rsid w:val="00052915"/>
    <w:rsid w:val="0009615B"/>
    <w:rsid w:val="000D64B5"/>
    <w:rsid w:val="000E3BB3"/>
    <w:rsid w:val="000F5E56"/>
    <w:rsid w:val="00101B42"/>
    <w:rsid w:val="00110BBB"/>
    <w:rsid w:val="00117695"/>
    <w:rsid w:val="001362EE"/>
    <w:rsid w:val="00146633"/>
    <w:rsid w:val="00152CEA"/>
    <w:rsid w:val="0015787D"/>
    <w:rsid w:val="00166337"/>
    <w:rsid w:val="001832A6"/>
    <w:rsid w:val="001A13E2"/>
    <w:rsid w:val="001F1DC8"/>
    <w:rsid w:val="00225E8B"/>
    <w:rsid w:val="0024342A"/>
    <w:rsid w:val="002455BA"/>
    <w:rsid w:val="002634C4"/>
    <w:rsid w:val="00272562"/>
    <w:rsid w:val="002847F2"/>
    <w:rsid w:val="002A2263"/>
    <w:rsid w:val="002A3592"/>
    <w:rsid w:val="002A6523"/>
    <w:rsid w:val="002B1C06"/>
    <w:rsid w:val="002B435F"/>
    <w:rsid w:val="002B72D4"/>
    <w:rsid w:val="002C0DF5"/>
    <w:rsid w:val="002C2E2F"/>
    <w:rsid w:val="002D23B5"/>
    <w:rsid w:val="002D7AD4"/>
    <w:rsid w:val="002E0F47"/>
    <w:rsid w:val="002F4E68"/>
    <w:rsid w:val="00310826"/>
    <w:rsid w:val="003408E6"/>
    <w:rsid w:val="00354647"/>
    <w:rsid w:val="00371151"/>
    <w:rsid w:val="00377273"/>
    <w:rsid w:val="003845C1"/>
    <w:rsid w:val="00387287"/>
    <w:rsid w:val="0039039B"/>
    <w:rsid w:val="003A6F37"/>
    <w:rsid w:val="003D6B5B"/>
    <w:rsid w:val="003E48F1"/>
    <w:rsid w:val="003E6453"/>
    <w:rsid w:val="003F347A"/>
    <w:rsid w:val="00415594"/>
    <w:rsid w:val="00423E3E"/>
    <w:rsid w:val="00426032"/>
    <w:rsid w:val="004271CD"/>
    <w:rsid w:val="00427AF4"/>
    <w:rsid w:val="00432576"/>
    <w:rsid w:val="0045231F"/>
    <w:rsid w:val="004647DA"/>
    <w:rsid w:val="0046793F"/>
    <w:rsid w:val="0047020C"/>
    <w:rsid w:val="00472A6E"/>
    <w:rsid w:val="00477808"/>
    <w:rsid w:val="00477D6B"/>
    <w:rsid w:val="004A0DC9"/>
    <w:rsid w:val="004A13D3"/>
    <w:rsid w:val="004A6C37"/>
    <w:rsid w:val="004E297D"/>
    <w:rsid w:val="005143C2"/>
    <w:rsid w:val="00531B02"/>
    <w:rsid w:val="005332F0"/>
    <w:rsid w:val="0054734F"/>
    <w:rsid w:val="0055013B"/>
    <w:rsid w:val="00556824"/>
    <w:rsid w:val="00571B99"/>
    <w:rsid w:val="00580ECC"/>
    <w:rsid w:val="005A19B9"/>
    <w:rsid w:val="005B2445"/>
    <w:rsid w:val="005B2EAE"/>
    <w:rsid w:val="00605827"/>
    <w:rsid w:val="006135BE"/>
    <w:rsid w:val="006644A8"/>
    <w:rsid w:val="00675021"/>
    <w:rsid w:val="00675CCD"/>
    <w:rsid w:val="0068522D"/>
    <w:rsid w:val="006922CC"/>
    <w:rsid w:val="00693AFA"/>
    <w:rsid w:val="00697DB3"/>
    <w:rsid w:val="006A06C6"/>
    <w:rsid w:val="006B081A"/>
    <w:rsid w:val="006C42DC"/>
    <w:rsid w:val="006C6D41"/>
    <w:rsid w:val="006C7300"/>
    <w:rsid w:val="006D3DEC"/>
    <w:rsid w:val="006F6CD2"/>
    <w:rsid w:val="00704F76"/>
    <w:rsid w:val="007145FF"/>
    <w:rsid w:val="00717779"/>
    <w:rsid w:val="007224C8"/>
    <w:rsid w:val="00735ECE"/>
    <w:rsid w:val="0074084C"/>
    <w:rsid w:val="00762AC6"/>
    <w:rsid w:val="00790EC2"/>
    <w:rsid w:val="00794BE2"/>
    <w:rsid w:val="007A5581"/>
    <w:rsid w:val="007B257C"/>
    <w:rsid w:val="007B71FE"/>
    <w:rsid w:val="007C037F"/>
    <w:rsid w:val="007D14F4"/>
    <w:rsid w:val="007D2C79"/>
    <w:rsid w:val="007D781E"/>
    <w:rsid w:val="007E1EE1"/>
    <w:rsid w:val="007E663E"/>
    <w:rsid w:val="007E6F4B"/>
    <w:rsid w:val="00815082"/>
    <w:rsid w:val="0082192D"/>
    <w:rsid w:val="008454FB"/>
    <w:rsid w:val="008576D7"/>
    <w:rsid w:val="0088395E"/>
    <w:rsid w:val="00895355"/>
    <w:rsid w:val="008B2CC1"/>
    <w:rsid w:val="008E4DB0"/>
    <w:rsid w:val="008E6BD6"/>
    <w:rsid w:val="0090731E"/>
    <w:rsid w:val="0091506F"/>
    <w:rsid w:val="00923649"/>
    <w:rsid w:val="00923927"/>
    <w:rsid w:val="009523D4"/>
    <w:rsid w:val="00966A22"/>
    <w:rsid w:val="00972F03"/>
    <w:rsid w:val="0098367F"/>
    <w:rsid w:val="009A0C8B"/>
    <w:rsid w:val="009A20CD"/>
    <w:rsid w:val="009A5422"/>
    <w:rsid w:val="009B6241"/>
    <w:rsid w:val="009C0927"/>
    <w:rsid w:val="009C10AA"/>
    <w:rsid w:val="009D1351"/>
    <w:rsid w:val="00A14EFE"/>
    <w:rsid w:val="00A16FC0"/>
    <w:rsid w:val="00A32C9E"/>
    <w:rsid w:val="00A34E3E"/>
    <w:rsid w:val="00A4106C"/>
    <w:rsid w:val="00A67595"/>
    <w:rsid w:val="00A8093B"/>
    <w:rsid w:val="00A932DD"/>
    <w:rsid w:val="00AA0DC7"/>
    <w:rsid w:val="00AB4E21"/>
    <w:rsid w:val="00AB613D"/>
    <w:rsid w:val="00AC1E2C"/>
    <w:rsid w:val="00AE4835"/>
    <w:rsid w:val="00AE7F20"/>
    <w:rsid w:val="00B34DC0"/>
    <w:rsid w:val="00B534D5"/>
    <w:rsid w:val="00B65A0A"/>
    <w:rsid w:val="00B67CDC"/>
    <w:rsid w:val="00B72D36"/>
    <w:rsid w:val="00B74AFD"/>
    <w:rsid w:val="00B946A9"/>
    <w:rsid w:val="00BB3453"/>
    <w:rsid w:val="00BC346C"/>
    <w:rsid w:val="00BC4164"/>
    <w:rsid w:val="00BD2DCC"/>
    <w:rsid w:val="00BD4538"/>
    <w:rsid w:val="00BE640B"/>
    <w:rsid w:val="00BF5A8E"/>
    <w:rsid w:val="00C16290"/>
    <w:rsid w:val="00C33725"/>
    <w:rsid w:val="00C34489"/>
    <w:rsid w:val="00C47175"/>
    <w:rsid w:val="00C90559"/>
    <w:rsid w:val="00CA0207"/>
    <w:rsid w:val="00CA0500"/>
    <w:rsid w:val="00CA053E"/>
    <w:rsid w:val="00CA2251"/>
    <w:rsid w:val="00CE3A21"/>
    <w:rsid w:val="00CF384A"/>
    <w:rsid w:val="00D10697"/>
    <w:rsid w:val="00D374F4"/>
    <w:rsid w:val="00D56C7C"/>
    <w:rsid w:val="00D66DFF"/>
    <w:rsid w:val="00D71B4D"/>
    <w:rsid w:val="00D87E9E"/>
    <w:rsid w:val="00D90289"/>
    <w:rsid w:val="00D92436"/>
    <w:rsid w:val="00D93D55"/>
    <w:rsid w:val="00DC4C60"/>
    <w:rsid w:val="00DD6CF4"/>
    <w:rsid w:val="00DF13F9"/>
    <w:rsid w:val="00E0079A"/>
    <w:rsid w:val="00E10466"/>
    <w:rsid w:val="00E20E63"/>
    <w:rsid w:val="00E31D97"/>
    <w:rsid w:val="00E37276"/>
    <w:rsid w:val="00E444DA"/>
    <w:rsid w:val="00E45C84"/>
    <w:rsid w:val="00E504E5"/>
    <w:rsid w:val="00E86051"/>
    <w:rsid w:val="00EA5E36"/>
    <w:rsid w:val="00EB0D93"/>
    <w:rsid w:val="00EB7A3E"/>
    <w:rsid w:val="00EC1AA7"/>
    <w:rsid w:val="00EC401A"/>
    <w:rsid w:val="00ED7086"/>
    <w:rsid w:val="00EF530A"/>
    <w:rsid w:val="00EF6622"/>
    <w:rsid w:val="00EF78A9"/>
    <w:rsid w:val="00F062E3"/>
    <w:rsid w:val="00F1092A"/>
    <w:rsid w:val="00F12F2F"/>
    <w:rsid w:val="00F50AEF"/>
    <w:rsid w:val="00F55408"/>
    <w:rsid w:val="00F66152"/>
    <w:rsid w:val="00F72080"/>
    <w:rsid w:val="00F7652C"/>
    <w:rsid w:val="00F80845"/>
    <w:rsid w:val="00F84474"/>
    <w:rsid w:val="00FA0F0D"/>
    <w:rsid w:val="00FB31F5"/>
    <w:rsid w:val="00FC57E6"/>
    <w:rsid w:val="00FD4DFB"/>
    <w:rsid w:val="00FD59D1"/>
    <w:rsid w:val="00FD69C7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020BD"/>
  <w15:docId w15:val="{7CF8BDD8-F41E-4946-9EFB-E039B32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580ECC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80ECC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580ECC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580ECC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CommentTextChar">
    <w:name w:val="Comment Text Char"/>
    <w:basedOn w:val="DefaultParagraphFon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80ECC"/>
    <w:rPr>
      <w:rFonts w:ascii="Arial" w:eastAsia="SimSun" w:hAnsi="Arial" w:cs="Arial"/>
      <w:sz w:val="22"/>
      <w:lang w:val="es-ES" w:eastAsia="zh-CN"/>
    </w:rPr>
  </w:style>
  <w:style w:type="paragraph" w:customStyle="1" w:styleId="TableParagraph">
    <w:name w:val="Table Paragraph"/>
    <w:basedOn w:val="Normal"/>
    <w:uiPriority w:val="1"/>
    <w:qFormat/>
    <w:rsid w:val="00580ECC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0ECC"/>
    <w:pPr>
      <w:widowControl w:val="0"/>
      <w:autoSpaceDE w:val="0"/>
      <w:autoSpaceDN w:val="0"/>
      <w:ind w:left="935" w:hanging="361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0ECC"/>
    <w:rPr>
      <w:color w:val="0000FF" w:themeColor="hyperlink"/>
      <w:u w:val="single"/>
    </w:rPr>
  </w:style>
  <w:style w:type="character" w:customStyle="1" w:styleId="ONUMFSChar">
    <w:name w:val="ONUM FS Char"/>
    <w:basedOn w:val="DefaultParagraphFont"/>
    <w:link w:val="ONUMFS"/>
    <w:rsid w:val="00580ECC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580ECC"/>
    <w:rPr>
      <w:vertAlign w:val="superscript"/>
    </w:rPr>
  </w:style>
  <w:style w:type="paragraph" w:customStyle="1" w:styleId="Default">
    <w:name w:val="Default"/>
    <w:rsid w:val="00580E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80EC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ECC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580ECC"/>
    <w:rPr>
      <w:rFonts w:ascii="Arial" w:eastAsia="SimSun" w:hAnsi="Arial" w:cs="Arial"/>
      <w:b/>
      <w:bCs/>
      <w:sz w:val="18"/>
      <w:lang w:val="es-E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0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es/doc_details.jsp?doc_id=552483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s/doc_details.jsp?doc_id=456923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s/doc_details.jsp?doc_id=406377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_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9E7-A451-459A-9E92-2BE20BE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(S)</Template>
  <TotalTime>0</TotalTime>
  <Pages>13</Pages>
  <Words>4771</Words>
  <Characters>24885</Characters>
  <Application>Microsoft Office Word</Application>
  <DocSecurity>0</DocSecurity>
  <Lines>1036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CDIP/31/9</vt:lpstr>
    </vt:vector>
  </TitlesOfParts>
  <Company>WIPO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CDIP/31/9</dc:title>
  <dc:creator>CEVALLOS DUQUE Nilo</dc:creator>
  <cp:keywords>FOR OFFICIAL USE ONLY</cp:keywords>
  <cp:lastModifiedBy>Anabela Esteves Dos Santos</cp:lastModifiedBy>
  <cp:revision>3</cp:revision>
  <dcterms:created xsi:type="dcterms:W3CDTF">2023-12-05T08:21:00Z</dcterms:created>
  <dcterms:modified xsi:type="dcterms:W3CDTF">2023-12-05T15:28:00Z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