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25E5" w14:textId="0223FD4D" w:rsidR="00541FEA" w:rsidRPr="00706D66" w:rsidRDefault="009800E7" w:rsidP="00DF0D86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60B6D773" wp14:editId="61744286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6569" w14:textId="0B8B4802" w:rsidR="00541FEA" w:rsidRPr="00706D66" w:rsidRDefault="00541FEA" w:rsidP="00DF0D8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>5</w:t>
      </w:r>
    </w:p>
    <w:p w14:paraId="04D12EDD" w14:textId="5C5DC329" w:rsidR="00541FEA" w:rsidRPr="00706D66" w:rsidRDefault="00541FEA" w:rsidP="00DF0D8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67FF83DD" w14:textId="409B87D7" w:rsidR="00541FEA" w:rsidRPr="00706D66" w:rsidRDefault="00541FEA" w:rsidP="00DF0D86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>
        <w:rPr>
          <w:rFonts w:ascii="Arial Black" w:hAnsi="Arial Black"/>
          <w:caps/>
          <w:sz w:val="15"/>
        </w:rPr>
        <w:t xml:space="preserve"> 15 февраля 2024 года</w:t>
      </w:r>
    </w:p>
    <w:bookmarkEnd w:id="2"/>
    <w:p w14:paraId="50729C3C" w14:textId="77777777" w:rsidR="00541FEA" w:rsidRPr="00706D66" w:rsidRDefault="00541FEA" w:rsidP="00DF0D86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57E099AA" w14:textId="1FD9CA77" w:rsidR="00541FEA" w:rsidRPr="00706D66" w:rsidRDefault="00575AC6" w:rsidP="00DF0D86">
      <w:pPr>
        <w:spacing w:after="720"/>
        <w:outlineLvl w:val="1"/>
        <w:rPr>
          <w:b/>
          <w:bCs/>
          <w:sz w:val="24"/>
          <w:szCs w:val="24"/>
        </w:rPr>
      </w:pPr>
      <w:r>
        <w:rPr>
          <w:b/>
          <w:sz w:val="24"/>
        </w:rPr>
        <w:t>Тридцать вторая сессия</w:t>
      </w:r>
      <w:r>
        <w:rPr>
          <w:b/>
          <w:sz w:val="24"/>
        </w:rPr>
        <w:br/>
        <w:t>Женева, 29 апреля – 3 мая 2024 года</w:t>
      </w:r>
    </w:p>
    <w:p w14:paraId="5E73EFDD" w14:textId="0350BE38" w:rsidR="00541FEA" w:rsidRPr="00706D66" w:rsidRDefault="00326FFD" w:rsidP="00DF0D86">
      <w:pPr>
        <w:pStyle w:val="Heading2"/>
        <w:spacing w:after="360"/>
        <w:rPr>
          <w:sz w:val="24"/>
          <w:szCs w:val="24"/>
        </w:rPr>
      </w:pPr>
      <w:r>
        <w:rPr>
          <w:caps w:val="0"/>
          <w:sz w:val="24"/>
        </w:rPr>
        <w:t>Отчет о завершении проекта «Выявление и использование изобретений, находящихся в сфере общественного достояния»</w:t>
      </w:r>
    </w:p>
    <w:p w14:paraId="20C5DAB6" w14:textId="730DEB96" w:rsidR="00541FEA" w:rsidRPr="00706D66" w:rsidRDefault="00541FEA" w:rsidP="00DF0D86">
      <w:pPr>
        <w:pStyle w:val="Heading3"/>
        <w:spacing w:after="960"/>
        <w:rPr>
          <w:i/>
          <w:u w:val="none"/>
        </w:rPr>
      </w:pPr>
      <w:bookmarkStart w:id="3" w:name="TitleOfDoc"/>
      <w:bookmarkEnd w:id="3"/>
      <w:r>
        <w:rPr>
          <w:i/>
          <w:u w:val="none"/>
        </w:rPr>
        <w:t>подготовлен Секретариатом</w:t>
      </w:r>
    </w:p>
    <w:p w14:paraId="4E1FB28F" w14:textId="426267D0" w:rsidR="00326FFD" w:rsidRPr="00706D66" w:rsidRDefault="00326FFD" w:rsidP="00326FFD">
      <w:pPr>
        <w:pStyle w:val="ONUMFS"/>
        <w:numPr>
          <w:ilvl w:val="0"/>
          <w:numId w:val="10"/>
        </w:numPr>
        <w:tabs>
          <w:tab w:val="left" w:pos="540"/>
        </w:tabs>
        <w:spacing w:after="0"/>
        <w:ind w:left="0" w:firstLine="0"/>
      </w:pPr>
      <w:r>
        <w:t xml:space="preserve">В приложении к настоящему документу содержится Отчет о завершении проекта Повестки дня в области развития (ПДР) «Выявление и использование изобретений, находящихся в сфере общественного достояния».  Отчет охватывает весь период реализации проекта: с января 2022 года по декабрь 2023 года. </w:t>
      </w:r>
    </w:p>
    <w:p w14:paraId="1DE8C8E7" w14:textId="77777777" w:rsidR="00A820D6" w:rsidRPr="00706D66" w:rsidRDefault="00A820D6" w:rsidP="00A820D6">
      <w:pPr>
        <w:pStyle w:val="ONUMFS"/>
        <w:numPr>
          <w:ilvl w:val="0"/>
          <w:numId w:val="0"/>
        </w:numPr>
        <w:tabs>
          <w:tab w:val="left" w:pos="540"/>
        </w:tabs>
        <w:spacing w:after="0"/>
      </w:pPr>
    </w:p>
    <w:p w14:paraId="5E7F40B3" w14:textId="4C9085ED" w:rsidR="00326FFD" w:rsidRPr="00706D66" w:rsidRDefault="00326FFD" w:rsidP="00A820D6">
      <w:pPr>
        <w:pStyle w:val="ONUMFS"/>
        <w:numPr>
          <w:ilvl w:val="0"/>
          <w:numId w:val="10"/>
        </w:numPr>
        <w:tabs>
          <w:tab w:val="left" w:pos="540"/>
        </w:tabs>
        <w:spacing w:after="720"/>
        <w:ind w:left="5530" w:firstLine="0"/>
        <w:rPr>
          <w:i/>
        </w:rPr>
      </w:pPr>
      <w:r>
        <w:rPr>
          <w:i/>
        </w:rPr>
        <w:t>Комитету предлагается принять к сведению информацию, содержащуюся в приложениях к настоящему документу.</w:t>
      </w:r>
    </w:p>
    <w:p w14:paraId="4D380093" w14:textId="4024E553" w:rsidR="00541FEA" w:rsidRPr="00706D66" w:rsidRDefault="00326FFD" w:rsidP="00A20AD8">
      <w:pPr>
        <w:pStyle w:val="ONUMFS"/>
        <w:numPr>
          <w:ilvl w:val="0"/>
          <w:numId w:val="0"/>
        </w:numPr>
        <w:tabs>
          <w:tab w:val="left" w:pos="540"/>
        </w:tabs>
        <w:ind w:left="5533"/>
      </w:pPr>
      <w:r>
        <w:t>[Приложения следуют]</w:t>
      </w:r>
    </w:p>
    <w:p w14:paraId="787ADE2B" w14:textId="77777777" w:rsidR="00541FEA" w:rsidRPr="00706D66" w:rsidRDefault="00541FEA" w:rsidP="00DF0D86">
      <w:pPr>
        <w:spacing w:after="220"/>
        <w:rPr>
          <w:i/>
        </w:rPr>
      </w:pPr>
      <w:bookmarkStart w:id="4" w:name="Prepared"/>
      <w:bookmarkEnd w:id="4"/>
    </w:p>
    <w:p w14:paraId="1CA9FE80" w14:textId="77777777" w:rsidR="00541FEA" w:rsidRPr="00706D66" w:rsidRDefault="00541FEA" w:rsidP="00DF0D86">
      <w:pPr>
        <w:spacing w:after="220"/>
      </w:pPr>
    </w:p>
    <w:p w14:paraId="1CFF60D9" w14:textId="77777777" w:rsidR="00A820D6" w:rsidRPr="00706D66" w:rsidRDefault="00B82D9F" w:rsidP="00C933C7">
      <w:pPr>
        <w:spacing w:before="71"/>
        <w:rPr>
          <w:b/>
        </w:rPr>
        <w:sectPr w:rsidR="00A820D6" w:rsidRPr="00706D66" w:rsidSect="00541F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40" w:right="1417" w:bottom="1417" w:left="1417" w:header="504" w:footer="1022" w:gutter="0"/>
          <w:cols w:space="720"/>
          <w:titlePg/>
          <w:docGrid w:linePitch="299"/>
        </w:sectPr>
      </w:pPr>
      <w:r>
        <w:lastRenderedPageBreak/>
        <w:br w:type="page"/>
      </w:r>
    </w:p>
    <w:p w14:paraId="7DD57D55" w14:textId="77777777" w:rsidR="00A820D6" w:rsidRPr="00706D66" w:rsidRDefault="00A820D6" w:rsidP="000A7887">
      <w:pPr>
        <w:spacing w:before="71"/>
        <w:rPr>
          <w:b/>
        </w:rPr>
      </w:pP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F44760" w:rsidRPr="00706D66" w14:paraId="08CA73C0" w14:textId="77777777" w:rsidTr="00A820D6">
        <w:trPr>
          <w:trHeight w:val="431"/>
        </w:trPr>
        <w:tc>
          <w:tcPr>
            <w:tcW w:w="9290" w:type="dxa"/>
            <w:gridSpan w:val="2"/>
          </w:tcPr>
          <w:p w14:paraId="4209B0A5" w14:textId="77777777" w:rsidR="00F44760" w:rsidRPr="00706D66" w:rsidRDefault="00F44760" w:rsidP="00F3367C">
            <w:pPr>
              <w:pStyle w:val="TableParagraph"/>
              <w:spacing w:before="88"/>
              <w:ind w:left="110"/>
            </w:pPr>
            <w:r>
              <w:t>РЕЗЮМЕ ПРОЕКТА</w:t>
            </w:r>
          </w:p>
        </w:tc>
      </w:tr>
      <w:tr w:rsidR="00F44760" w:rsidRPr="00706D66" w14:paraId="7523031D" w14:textId="77777777" w:rsidTr="00A820D6">
        <w:trPr>
          <w:trHeight w:val="414"/>
        </w:trPr>
        <w:tc>
          <w:tcPr>
            <w:tcW w:w="2377" w:type="dxa"/>
            <w:shd w:val="clear" w:color="auto" w:fill="8DB3E1"/>
          </w:tcPr>
          <w:p w14:paraId="59C73D01" w14:textId="77777777" w:rsidR="00F44760" w:rsidRPr="00706D66" w:rsidRDefault="00F44760" w:rsidP="00F3367C">
            <w:pPr>
              <w:pStyle w:val="TableParagraph"/>
              <w:ind w:left="110"/>
            </w:pPr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</w:tcPr>
          <w:p w14:paraId="4B7C284E" w14:textId="3277BD17" w:rsidR="00F44760" w:rsidRPr="00706D66" w:rsidRDefault="00C3308A" w:rsidP="00F3367C">
            <w:pPr>
              <w:pStyle w:val="TableParagraph"/>
              <w:ind w:left="109"/>
            </w:pPr>
            <w:r>
              <w:t>DA_16_20_04</w:t>
            </w:r>
          </w:p>
        </w:tc>
      </w:tr>
      <w:tr w:rsidR="00F44760" w:rsidRPr="00706D66" w14:paraId="063EA599" w14:textId="77777777" w:rsidTr="00A820D6">
        <w:trPr>
          <w:trHeight w:val="342"/>
        </w:trPr>
        <w:tc>
          <w:tcPr>
            <w:tcW w:w="2377" w:type="dxa"/>
            <w:shd w:val="clear" w:color="auto" w:fill="8DB3E1"/>
          </w:tcPr>
          <w:p w14:paraId="5B3B5403" w14:textId="77777777" w:rsidR="00F44760" w:rsidRPr="00706D66" w:rsidRDefault="00F44760" w:rsidP="00F3367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</w:tcPr>
          <w:p w14:paraId="0E12E743" w14:textId="232D7C0E" w:rsidR="001F6E9F" w:rsidRPr="00706D66" w:rsidRDefault="007C6B37" w:rsidP="00F3367C">
            <w:pPr>
              <w:pStyle w:val="TableParagraph"/>
              <w:spacing w:before="1"/>
              <w:ind w:left="109"/>
            </w:pPr>
            <w:hyperlink r:id="rId15" w:history="1">
              <w:r w:rsidR="002C1244">
                <w:rPr>
                  <w:rStyle w:val="Hyperlink"/>
                </w:rPr>
                <w:t>Выявление и использование изобретений, находящихся в сфере общественного достояния</w:t>
              </w:r>
            </w:hyperlink>
          </w:p>
        </w:tc>
      </w:tr>
      <w:tr w:rsidR="00F44760" w:rsidRPr="00706D66" w14:paraId="4BBB56F6" w14:textId="77777777" w:rsidTr="00A820D6">
        <w:trPr>
          <w:trHeight w:val="621"/>
        </w:trPr>
        <w:tc>
          <w:tcPr>
            <w:tcW w:w="2377" w:type="dxa"/>
            <w:shd w:val="clear" w:color="auto" w:fill="8DB3E1"/>
          </w:tcPr>
          <w:p w14:paraId="2C639129" w14:textId="5D9EC959" w:rsidR="00F44760" w:rsidRPr="00706D66" w:rsidRDefault="007C6B37" w:rsidP="00F3367C">
            <w:pPr>
              <w:pStyle w:val="TableParagraph"/>
              <w:ind w:left="110" w:right="121"/>
            </w:pPr>
            <w:hyperlink r:id="rId16" w:history="1">
              <w:r w:rsidR="002C1244">
                <w:rPr>
                  <w:rStyle w:val="Hyperlink"/>
                </w:rPr>
                <w:t>Рекомендация Повестки дня в области развития</w:t>
              </w:r>
            </w:hyperlink>
          </w:p>
        </w:tc>
        <w:tc>
          <w:tcPr>
            <w:tcW w:w="6913" w:type="dxa"/>
          </w:tcPr>
          <w:p w14:paraId="02C49CAD" w14:textId="5F18236C" w:rsidR="00F44760" w:rsidRPr="00706D66" w:rsidRDefault="00C3308A" w:rsidP="00F3367C">
            <w:pPr>
              <w:pStyle w:val="TableParagraph"/>
              <w:ind w:left="109" w:right="880"/>
            </w:pPr>
            <w:r>
              <w:t>Рекомендации 16 и 20.</w:t>
            </w:r>
          </w:p>
        </w:tc>
      </w:tr>
      <w:tr w:rsidR="00F44760" w:rsidRPr="00706D66" w14:paraId="7302B096" w14:textId="77777777" w:rsidTr="00A820D6">
        <w:trPr>
          <w:trHeight w:val="531"/>
        </w:trPr>
        <w:tc>
          <w:tcPr>
            <w:tcW w:w="2377" w:type="dxa"/>
            <w:shd w:val="clear" w:color="auto" w:fill="8DB3E1"/>
          </w:tcPr>
          <w:p w14:paraId="6D040B76" w14:textId="77777777" w:rsidR="00F44760" w:rsidRPr="00706D66" w:rsidRDefault="00F44760" w:rsidP="00F3367C">
            <w:pPr>
              <w:pStyle w:val="TableParagraph"/>
              <w:ind w:left="110"/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</w:tcPr>
          <w:p w14:paraId="37813608" w14:textId="3A094BEC" w:rsidR="00F44760" w:rsidRPr="00706D66" w:rsidRDefault="00050705" w:rsidP="00110BEB">
            <w:pPr>
              <w:pStyle w:val="TableParagraph"/>
              <w:ind w:left="109" w:right="255"/>
            </w:pPr>
            <w:r>
              <w:t>Общий бюджет проекта: 80 000 шв. франков, выделенные на расходы, не связанные с персоналом.</w:t>
            </w:r>
          </w:p>
        </w:tc>
      </w:tr>
      <w:tr w:rsidR="00F44760" w:rsidRPr="00706D66" w14:paraId="5B4D3925" w14:textId="77777777" w:rsidTr="00A820D6">
        <w:trPr>
          <w:trHeight w:val="441"/>
        </w:trPr>
        <w:tc>
          <w:tcPr>
            <w:tcW w:w="2377" w:type="dxa"/>
            <w:shd w:val="clear" w:color="auto" w:fill="8DB3E1"/>
          </w:tcPr>
          <w:p w14:paraId="493D68F9" w14:textId="77777777" w:rsidR="00F44760" w:rsidRPr="00706D66" w:rsidRDefault="00F44760" w:rsidP="00F3367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</w:tcPr>
          <w:p w14:paraId="53F0E34F" w14:textId="01C05601" w:rsidR="00F44760" w:rsidRPr="00706D66" w:rsidRDefault="006F54C9" w:rsidP="00F3367C">
            <w:pPr>
              <w:pStyle w:val="TableParagraph"/>
              <w:spacing w:before="1"/>
              <w:ind w:left="109"/>
            </w:pPr>
            <w:r>
              <w:t>24 месяца.</w:t>
            </w:r>
          </w:p>
        </w:tc>
      </w:tr>
      <w:tr w:rsidR="00F44760" w:rsidRPr="00706D66" w14:paraId="7B5E70F1" w14:textId="77777777" w:rsidTr="00A820D6">
        <w:trPr>
          <w:trHeight w:val="891"/>
        </w:trPr>
        <w:tc>
          <w:tcPr>
            <w:tcW w:w="2377" w:type="dxa"/>
            <w:shd w:val="clear" w:color="auto" w:fill="8DB3E1"/>
          </w:tcPr>
          <w:p w14:paraId="3C962C6A" w14:textId="77777777" w:rsidR="00F44760" w:rsidRPr="00706D66" w:rsidRDefault="00F44760" w:rsidP="00F3367C">
            <w:pPr>
              <w:pStyle w:val="TableParagraph"/>
              <w:spacing w:line="252" w:lineRule="exact"/>
              <w:ind w:left="110"/>
            </w:pPr>
            <w:r>
              <w:rPr>
                <w:u w:val="single"/>
              </w:rPr>
              <w:t>Ключевые сектора/подразделения ВОИС, участвующие в реализации проекта</w:t>
            </w:r>
          </w:p>
        </w:tc>
        <w:tc>
          <w:tcPr>
            <w:tcW w:w="6913" w:type="dxa"/>
          </w:tcPr>
          <w:p w14:paraId="7C816EFC" w14:textId="26D44FE2" w:rsidR="00B476D1" w:rsidRPr="00706D66" w:rsidRDefault="00B476D1" w:rsidP="00B476D1">
            <w:pPr>
              <w:pStyle w:val="TableParagraph"/>
              <w:ind w:left="109" w:right="84"/>
            </w:pPr>
            <w:r>
              <w:t>Сектор, реализующий проект: Сектор экосистем ИС и инноваций.</w:t>
            </w:r>
          </w:p>
          <w:p w14:paraId="0C8BA645" w14:textId="77777777" w:rsidR="00B476D1" w:rsidRPr="00706D66" w:rsidRDefault="00B476D1" w:rsidP="00B476D1">
            <w:pPr>
              <w:pStyle w:val="TableParagraph"/>
              <w:ind w:left="109" w:right="84"/>
            </w:pPr>
          </w:p>
          <w:p w14:paraId="6832AE87" w14:textId="627E6ACE" w:rsidR="00F44760" w:rsidRPr="00706D66" w:rsidRDefault="00B476D1" w:rsidP="00B476D1">
            <w:pPr>
              <w:pStyle w:val="TableParagraph"/>
              <w:ind w:left="109" w:right="531"/>
            </w:pPr>
            <w:r>
              <w:t>Другие сектора, участвующие в реализации: Сектор патентов и технологий, Сектор регионального и национального развития, Сектор инфраструктуры и платформ.</w:t>
            </w:r>
          </w:p>
        </w:tc>
      </w:tr>
      <w:tr w:rsidR="00F44760" w:rsidRPr="00706D66" w14:paraId="104BAF9D" w14:textId="77777777" w:rsidTr="00A820D6">
        <w:trPr>
          <w:trHeight w:val="621"/>
        </w:trPr>
        <w:tc>
          <w:tcPr>
            <w:tcW w:w="2377" w:type="dxa"/>
            <w:shd w:val="clear" w:color="auto" w:fill="8DB3E1"/>
          </w:tcPr>
          <w:p w14:paraId="711FD013" w14:textId="77777777" w:rsidR="00F44760" w:rsidRPr="00706D66" w:rsidRDefault="00F44760" w:rsidP="00F3367C">
            <w:pPr>
              <w:pStyle w:val="TableParagraph"/>
              <w:spacing w:before="1"/>
              <w:ind w:left="110" w:right="378"/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</w:tcPr>
          <w:p w14:paraId="11EE3364" w14:textId="75B942BA" w:rsidR="005456D5" w:rsidRPr="00706D66" w:rsidRDefault="005456D5" w:rsidP="005456D5">
            <w:pPr>
              <w:pStyle w:val="TableParagraph"/>
              <w:ind w:left="109" w:right="84"/>
            </w:pPr>
            <w:r>
              <w:t>Данный проект был основан на результатах проекта ПДР «Использование информации, являющейся частью общественного достояния», а также текущих программных мероприятий по созданию и развитию Центров поддержки технологии и инноваций (ЦПТИ).</w:t>
            </w:r>
          </w:p>
          <w:p w14:paraId="7A363D9E" w14:textId="77777777" w:rsidR="005456D5" w:rsidRPr="00706D66" w:rsidRDefault="005456D5" w:rsidP="005456D5">
            <w:pPr>
              <w:pStyle w:val="TableParagraph"/>
              <w:ind w:left="109" w:right="84"/>
            </w:pPr>
          </w:p>
          <w:p w14:paraId="0DE6E2BE" w14:textId="01939CDF" w:rsidR="005456D5" w:rsidRPr="00706D66" w:rsidRDefault="005456D5" w:rsidP="005456D5">
            <w:pPr>
              <w:pStyle w:val="TableParagraph"/>
              <w:ind w:left="109" w:right="84"/>
            </w:pPr>
            <w:r>
              <w:t>Данный проект был направлен на содействие развитию потенциала ЦПТИ с точки зрения предоставления услуг, связанных с выявлением и использованием изобретений, находящихся в сфере общественного достояния.  Цель проекта была достигнута путем предоставления сотрудникам ЦПТИ, исследователям и предпринимателям дополнительных инструментов и информации, относящихся к выявлению и использованию изобретений, находящихся в сфере общественного достояния, с учетом особых потребностей развивающихся стран.</w:t>
            </w:r>
          </w:p>
          <w:p w14:paraId="6D954EBD" w14:textId="77777777" w:rsidR="005456D5" w:rsidRPr="00706D66" w:rsidRDefault="005456D5" w:rsidP="005456D5">
            <w:pPr>
              <w:pStyle w:val="TableParagraph"/>
              <w:ind w:left="109" w:right="84"/>
            </w:pPr>
          </w:p>
          <w:p w14:paraId="3A0FEEDF" w14:textId="7DC13A82" w:rsidR="00A97D7C" w:rsidRPr="00706D66" w:rsidRDefault="005456D5" w:rsidP="005456D5">
            <w:pPr>
              <w:pStyle w:val="TableParagraph"/>
              <w:spacing w:after="240"/>
              <w:ind w:left="115"/>
            </w:pPr>
            <w:r>
              <w:t>Данный проект предусматривал разработку набора инструментов, включающего практические инструменты, в поддержку реализации концепций и процедур, описанных в двух руководствах: «</w:t>
            </w:r>
            <w:r w:rsidRPr="00A20AD8">
              <w:t>Выявление изобретений, находящихся в сфере общественного достояния: руководство для изобретателей и предпринимателей» и «Использование изобретений, находящихся в сфере общественного достояния: руководство для изобретателей и предпринимателей».  Так, проект включал создание инструмента, который может быть полезным при принятии решения о целесообразности реализации</w:t>
            </w:r>
            <w:r>
              <w:t xml:space="preserve"> инициативы по разработке новой продукции на основе результатов оценки патентной чистоты.  Кроме того, в рамках проекта были разработаны новые учебные материалы по эффективному использованию инструментария и проведены пилотные учебно-практические семинары для доработки инструментария и </w:t>
            </w:r>
            <w:r>
              <w:lastRenderedPageBreak/>
              <w:t>учебных материалов.</w:t>
            </w:r>
          </w:p>
        </w:tc>
      </w:tr>
      <w:tr w:rsidR="00F44760" w:rsidRPr="00706D66" w14:paraId="3C575F53" w14:textId="77777777" w:rsidTr="00A820D6">
        <w:trPr>
          <w:trHeight w:val="441"/>
        </w:trPr>
        <w:tc>
          <w:tcPr>
            <w:tcW w:w="2377" w:type="dxa"/>
            <w:shd w:val="clear" w:color="auto" w:fill="8DB3E1"/>
          </w:tcPr>
          <w:p w14:paraId="429CE244" w14:textId="77777777" w:rsidR="00F44760" w:rsidRPr="00706D66" w:rsidRDefault="00F44760" w:rsidP="00F3367C">
            <w:pPr>
              <w:pStyle w:val="TableParagraph"/>
              <w:ind w:left="110"/>
            </w:pPr>
            <w:r>
              <w:rPr>
                <w:u w:val="single"/>
              </w:rPr>
              <w:lastRenderedPageBreak/>
              <w:t>Руководитель проекта</w:t>
            </w:r>
          </w:p>
        </w:tc>
        <w:tc>
          <w:tcPr>
            <w:tcW w:w="6913" w:type="dxa"/>
          </w:tcPr>
          <w:p w14:paraId="1C993372" w14:textId="59FF6169" w:rsidR="00A97D7C" w:rsidRPr="00706D66" w:rsidRDefault="000E0230" w:rsidP="00F12CC7">
            <w:pPr>
              <w:pStyle w:val="TableParagraph"/>
              <w:spacing w:after="120"/>
              <w:ind w:left="115"/>
            </w:pPr>
            <w:r>
              <w:t>Г-н Эндрю Чайковский, директор отдела поддержки технологий и инноваций Департамента ИС для новаторов Сектора экосистем ИС и инноваций.</w:t>
            </w:r>
          </w:p>
        </w:tc>
      </w:tr>
      <w:tr w:rsidR="00F44760" w:rsidRPr="00706D66" w14:paraId="254B64D8" w14:textId="77777777" w:rsidTr="00A820D6">
        <w:trPr>
          <w:trHeight w:val="792"/>
        </w:trPr>
        <w:tc>
          <w:tcPr>
            <w:tcW w:w="2377" w:type="dxa"/>
            <w:shd w:val="clear" w:color="auto" w:fill="8DB3E1"/>
          </w:tcPr>
          <w:p w14:paraId="7EF0D4DB" w14:textId="77777777" w:rsidR="00F44760" w:rsidRPr="00706D66" w:rsidRDefault="00F44760" w:rsidP="00F3367C">
            <w:pPr>
              <w:pStyle w:val="TableParagraph"/>
              <w:ind w:left="110" w:right="221"/>
            </w:pPr>
            <w:r>
              <w:rPr>
                <w:u w:val="single"/>
              </w:rPr>
              <w:t>Связи с ожидаемыми результатами, предусмотренными Программой и бюджетом</w:t>
            </w:r>
          </w:p>
        </w:tc>
        <w:tc>
          <w:tcPr>
            <w:tcW w:w="6913" w:type="dxa"/>
          </w:tcPr>
          <w:p w14:paraId="678B5BB5" w14:textId="20CBA4FA" w:rsidR="00611717" w:rsidRPr="00706D66" w:rsidRDefault="00611717" w:rsidP="00F12CC7">
            <w:pPr>
              <w:pStyle w:val="TableParagraph"/>
              <w:spacing w:after="240"/>
              <w:ind w:left="115" w:right="115"/>
            </w:pPr>
            <w:r>
              <w:rPr>
                <w:u w:val="single"/>
              </w:rPr>
              <w:t>Программа и бюджет на 2022–2023 годы</w:t>
            </w:r>
            <w:r>
              <w:t>:</w:t>
            </w:r>
          </w:p>
          <w:p w14:paraId="638B6C77" w14:textId="77777777" w:rsidR="006E38DC" w:rsidRPr="00706D66" w:rsidRDefault="006E38DC" w:rsidP="006E38DC">
            <w:pPr>
              <w:pStyle w:val="TableParagraph"/>
              <w:ind w:left="109" w:right="84"/>
              <w:rPr>
                <w:iCs/>
              </w:rPr>
            </w:pPr>
            <w: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14:paraId="76CD00A5" w14:textId="77777777" w:rsidR="006E38DC" w:rsidRPr="00706D66" w:rsidRDefault="006E38DC" w:rsidP="006E38DC">
            <w:pPr>
              <w:pStyle w:val="TableParagraph"/>
              <w:ind w:left="109" w:right="84"/>
              <w:rPr>
                <w:iCs/>
              </w:rPr>
            </w:pPr>
          </w:p>
          <w:p w14:paraId="2EFC6F6D" w14:textId="319EBDF7" w:rsidR="00A97D7C" w:rsidRPr="00706D66" w:rsidRDefault="006E38DC" w:rsidP="006E38DC">
            <w:pPr>
              <w:pStyle w:val="TableParagraph"/>
              <w:spacing w:after="120"/>
              <w:ind w:left="115" w:right="115"/>
            </w:pPr>
            <w:r>
              <w:t>4.4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F44760" w:rsidRPr="00706D66" w14:paraId="4133E4C3" w14:textId="77777777" w:rsidTr="00A820D6">
        <w:trPr>
          <w:trHeight w:val="801"/>
        </w:trPr>
        <w:tc>
          <w:tcPr>
            <w:tcW w:w="2377" w:type="dxa"/>
            <w:shd w:val="clear" w:color="auto" w:fill="8DB3E1"/>
          </w:tcPr>
          <w:p w14:paraId="58686771" w14:textId="77777777" w:rsidR="00F44760" w:rsidRPr="00706D66" w:rsidRDefault="00F44760" w:rsidP="00F3367C">
            <w:pPr>
              <w:pStyle w:val="TableParagraph"/>
              <w:spacing w:before="1"/>
              <w:ind w:left="110" w:right="708"/>
            </w:pPr>
            <w:r>
              <w:rPr>
                <w:u w:val="single"/>
              </w:rPr>
              <w:t>Обзор хода реализации проекта</w:t>
            </w:r>
          </w:p>
        </w:tc>
        <w:tc>
          <w:tcPr>
            <w:tcW w:w="6913" w:type="dxa"/>
          </w:tcPr>
          <w:p w14:paraId="07056E84" w14:textId="553B2409" w:rsidR="00BC41D0" w:rsidRPr="004823A4" w:rsidRDefault="004823A4" w:rsidP="004823A4">
            <w:pPr>
              <w:spacing w:after="240"/>
              <w:ind w:left="80"/>
              <w:rPr>
                <w:u w:val="single"/>
              </w:rPr>
            </w:pPr>
            <w:r>
              <w:t>Ниже приведен анализ хода реализации проекта, основанный на достижении каждого из результатов проекта, описанных в утвержденном проектном документе (</w:t>
            </w:r>
            <w:hyperlink r:id="rId17" w:history="1">
              <w:r>
                <w:rPr>
                  <w:rStyle w:val="Hyperlink"/>
                </w:rPr>
                <w:t>CDIP/27/6</w:t>
              </w:r>
            </w:hyperlink>
            <w:r>
              <w:t>):</w:t>
            </w:r>
          </w:p>
          <w:p w14:paraId="139D99C7" w14:textId="57AC0BB1" w:rsidR="005F663B" w:rsidRPr="00BD4947" w:rsidRDefault="005F663B" w:rsidP="0036094E">
            <w:pPr>
              <w:pStyle w:val="ListParagraph"/>
              <w:numPr>
                <w:ilvl w:val="0"/>
                <w:numId w:val="20"/>
              </w:numPr>
              <w:spacing w:after="240"/>
              <w:rPr>
                <w:b/>
                <w:bCs/>
              </w:rPr>
            </w:pPr>
            <w:r>
              <w:rPr>
                <w:b/>
              </w:rPr>
              <w:t>Создание инструментария, охватывающего ключевые фазы разработки продукта или услуги и определение того, относится ли изобретение к сфере общественного достояния</w:t>
            </w:r>
          </w:p>
          <w:p w14:paraId="1146BBA0" w14:textId="3DB07B01" w:rsidR="0083164A" w:rsidRDefault="0083164A" w:rsidP="00C264AF">
            <w:pPr>
              <w:spacing w:after="240"/>
              <w:ind w:left="80"/>
            </w:pPr>
            <w:r>
              <w:t>Данный проект опирался на результаты прошлого проекта ПДР по использованию информации, являющейся частью общественного достояния, для целей экономического развития, в частности, на публикацию следующих двух руководств:</w:t>
            </w:r>
          </w:p>
          <w:p w14:paraId="1F690B21" w14:textId="2677B856" w:rsidR="0083164A" w:rsidRPr="00A20AD8" w:rsidRDefault="00925EC8" w:rsidP="0083164A">
            <w:pPr>
              <w:pStyle w:val="ListParagraph"/>
              <w:numPr>
                <w:ilvl w:val="0"/>
                <w:numId w:val="19"/>
              </w:numPr>
              <w:spacing w:after="240"/>
              <w:ind w:left="533"/>
              <w:rPr>
                <w:iCs/>
              </w:rPr>
            </w:pPr>
            <w:r w:rsidRPr="00A20AD8">
              <w:rPr>
                <w:iCs/>
              </w:rPr>
              <w:t xml:space="preserve">«Выявление изобретений, находящихся в сфере общественного достояния: руководство для изобретателей и предпринимателей» (ВОИС, 2020 год); и </w:t>
            </w:r>
          </w:p>
          <w:p w14:paraId="0FE1C1E9" w14:textId="59E78259" w:rsidR="0083164A" w:rsidRDefault="00925EC8" w:rsidP="0083164A">
            <w:pPr>
              <w:pStyle w:val="ListParagraph"/>
              <w:numPr>
                <w:ilvl w:val="0"/>
                <w:numId w:val="19"/>
              </w:numPr>
              <w:spacing w:after="240"/>
              <w:ind w:left="533"/>
            </w:pPr>
            <w:r w:rsidRPr="00A20AD8">
              <w:rPr>
                <w:iCs/>
              </w:rPr>
              <w:t>«Использование изобретений, находящихся в сфере общественного достояния: руководство для изобретателей и предпринимателей»</w:t>
            </w:r>
            <w:r>
              <w:t xml:space="preserve"> (ВОИС, 2020 год).</w:t>
            </w:r>
          </w:p>
          <w:p w14:paraId="4F5554F3" w14:textId="783CA85F" w:rsidR="00C264AF" w:rsidRPr="00706D66" w:rsidRDefault="0083164A" w:rsidP="0036094E">
            <w:pPr>
              <w:spacing w:after="240"/>
              <w:ind w:left="83"/>
            </w:pPr>
            <w:r>
              <w:t xml:space="preserve">Одним из основных результатов данного проекта, позволяющих реализовать концепции и процессы, представленные в указанных руководствах, стала разработка серии практических инструментов, которые дополняют руководства, помогая собирать и анализировать данные для оценки инициатив по разработке новой продукции (РНП) и оказания поддержки в принятии решений в отношении разработки новых товаров и услуг на основе изобретений, находящихся в сфере общественного достояния. </w:t>
            </w:r>
          </w:p>
          <w:p w14:paraId="2B57960E" w14:textId="58FA6E9E" w:rsidR="00C264AF" w:rsidRDefault="00C264AF" w:rsidP="00C264AF">
            <w:pPr>
              <w:spacing w:after="240"/>
              <w:ind w:left="80"/>
            </w:pPr>
            <w:r>
              <w:t xml:space="preserve">Эти практические инструменты являются частью инструментария, используемого в рамках «поэтапной» процедуры РНП, которая включает в себя:  разработку устава проекта РНП и соответствующего плана действий, учет мнения потребителей, выявление источников конкурентных преимуществ, сбор и анализ данных для определения патентной чистоты, а также проведение анализа производственно-сбытовой цепи, сильных сторон, слабостей, возможностей и угроз (SWOT-анализ).  Данный инструментарий включает семь инструментов по вышеупомянутым темам с соответствующими описаниями и практическими примерами того, как следует использовать каждый инструмент. </w:t>
            </w:r>
          </w:p>
          <w:p w14:paraId="1A8FBB49" w14:textId="67F59605" w:rsidR="00D94686" w:rsidRDefault="00355DF4" w:rsidP="00D94686">
            <w:pPr>
              <w:spacing w:after="240"/>
              <w:ind w:left="80"/>
            </w:pPr>
            <w:r>
              <w:t>Для подготовки материалов для инструментария Секретариат заключил договор с поставщиком услуг, обладающим опытом в области РНП, коммерциализации и передачи технологии и опытом проведения обучения по этим тематикам для широкого круга аудитории, в том числе в развивающихся странах.  Также поставщик услуг был выбран на основании наличия у него обширных знаний в отношении упомянутых выше руководств ВОИС, поскольку он ранее участвовал в процессе содержательной независимой оценки в рамках проекта ПДР по использованию информации, являющейся частью общественного достояния, для целей экономического развития, на основе которого разрабатывается данный проект.</w:t>
            </w:r>
          </w:p>
          <w:p w14:paraId="6E2865DA" w14:textId="5291F041" w:rsidR="00D94686" w:rsidRDefault="00D94686" w:rsidP="00D94686">
            <w:pPr>
              <w:spacing w:after="240"/>
              <w:ind w:left="80"/>
            </w:pPr>
            <w:r>
              <w:t xml:space="preserve">Для обеспечения должного включения в материалы инструментария особых аспектов изобретений в сфере общественного достояния и ИС и для должной оценки рисков с правовой точки зрения проект материалов также получил независимую оценку юриста-практика и эксперта в области прав ИС.  Полученные в результате этой оценки рекомендации были учтены и включены в окончательный вариант материалов. </w:t>
            </w:r>
          </w:p>
          <w:p w14:paraId="5FCE6939" w14:textId="150EA9A6" w:rsidR="005F663B" w:rsidRPr="00432410" w:rsidRDefault="005F663B" w:rsidP="00432410">
            <w:pPr>
              <w:pStyle w:val="ListParagraph"/>
              <w:numPr>
                <w:ilvl w:val="0"/>
                <w:numId w:val="20"/>
              </w:numPr>
              <w:spacing w:after="240"/>
              <w:rPr>
                <w:b/>
                <w:bCs/>
              </w:rPr>
            </w:pPr>
            <w:r>
              <w:rPr>
                <w:b/>
              </w:rPr>
              <w:t>Подготовка учебных материалов для ЦПТИ</w:t>
            </w:r>
          </w:p>
          <w:p w14:paraId="19C99D9E" w14:textId="23ADDBCE" w:rsidR="00185961" w:rsidRDefault="00706D66" w:rsidP="005F663B">
            <w:pPr>
              <w:spacing w:after="240"/>
              <w:ind w:left="80"/>
            </w:pPr>
            <w:r>
              <w:t xml:space="preserve">Пакет учебных материалов, разработанный в рамках данного проекта, обеспечивает основу для реализации нового модульного подхода в форме смешанного обучения, направленного на формирование знаний и навыков использования инструментов, входящих в вышеупомянутый инструментарий. </w:t>
            </w:r>
          </w:p>
          <w:p w14:paraId="4AB9678E" w14:textId="0D8BD7EE" w:rsidR="00CF26CC" w:rsidRDefault="00C264AF" w:rsidP="00AE195B">
            <w:pPr>
              <w:spacing w:after="240"/>
              <w:ind w:left="80"/>
            </w:pPr>
            <w:r>
              <w:t xml:space="preserve">Пакет учебных материалов включает руководство для учащихся и модульные учебные материалы для сопровождения практического обучения использованию инструментария.  Пакет включает:  i) видеоматериалы для знакомства с ключевыми понятиями и для объяснения роли каждого из инструментов в поддержке принятия решений на каждом этапе процедуры РНП; и ii) ресурсы и наборы данных для учебного моделирования в ходе очных или онлайновых семинаров под руководством инструктора.  Для разработки этих материалов Секретариат заключил договоры с экспертами в предметной области и сфере образования, а также с компанией по производству видеоматериалов.  </w:t>
            </w:r>
          </w:p>
          <w:p w14:paraId="5C69EAD7" w14:textId="1E5012E5" w:rsidR="0083665B" w:rsidRPr="00CD6472" w:rsidRDefault="00CD6472" w:rsidP="0083665B">
            <w:pPr>
              <w:spacing w:after="240"/>
              <w:ind w:left="80"/>
            </w:pPr>
            <w:r>
              <w:t xml:space="preserve">Предварительно опубликованные версии инструментария, видеороликов и соответствующих материалов доступны на специальной веб-странице по адресу </w:t>
            </w:r>
            <w:hyperlink r:id="rId18" w:history="1">
              <w:r>
                <w:rPr>
                  <w:rStyle w:val="Hyperlink"/>
                  <w:color w:val="auto"/>
                </w:rPr>
                <w:t>https://www.wipo.int/tisc/ru/inventions-public-domain.html</w:t>
              </w:r>
            </w:hyperlink>
            <w:r>
              <w:t xml:space="preserve"> и в Каталоге проектов и мероприятий в рамках ПДР по ссылке dacatalogue.wipo.int/projects/DA_16_20_04.</w:t>
            </w:r>
          </w:p>
          <w:p w14:paraId="0A76C618" w14:textId="25E1903B" w:rsidR="005F663B" w:rsidRPr="00B36E14" w:rsidRDefault="005F663B" w:rsidP="00B36E14">
            <w:pPr>
              <w:pStyle w:val="ListParagraph"/>
              <w:numPr>
                <w:ilvl w:val="0"/>
                <w:numId w:val="20"/>
              </w:numPr>
              <w:spacing w:after="240"/>
              <w:rPr>
                <w:b/>
                <w:bCs/>
              </w:rPr>
            </w:pPr>
            <w:r>
              <w:rPr>
                <w:b/>
              </w:rPr>
              <w:t>Проведение учебных семинаров</w:t>
            </w:r>
          </w:p>
          <w:p w14:paraId="74229B72" w14:textId="1045F019" w:rsidR="00C02EC7" w:rsidRDefault="00901C90" w:rsidP="00CC7DE8">
            <w:pPr>
              <w:spacing w:after="240"/>
              <w:ind w:left="80"/>
            </w:pPr>
            <w:r>
              <w:t>Окончательным</w:t>
            </w:r>
            <w:r w:rsidR="00706D66">
              <w:t xml:space="preserve"> результатом стало проведение пилотных учебных семинаров с использованием новых учебных материалов из инструментария.  Для проведения этих семинаров были выбраны сети ЦПТИ Малайзии и Филиппин </w:t>
            </w:r>
            <w:r w:rsidR="00C02477">
              <w:rPr>
                <w:rStyle w:val="FootnoteReference"/>
              </w:rPr>
              <w:footnoteReference w:id="1"/>
            </w:r>
            <w:r w:rsidR="00706D66">
              <w:t>, поскольку:  (i) обе сети уже приобрели необходимые предварительные знания по данному вопросу благодаря участию в пилотной интеграции руководств «Выявление изобретений, находящихся в сфере общественного достояния:  руководство для изобретателей и предпринимателей» и «Использование изобретений, находящихся в сфере общественного достояния:  руководство для изобретателей и предпринимателей», и (ii) обе сети достигли необходимого уровня зрелости, многие из их ЦПТИ уже предоставляют изобретателям и предпринимателям дополнительные полезные услуги (например, помощь и консультации по вопросам управления и коммерциализации прав ИС, поддержка развития бизнеса и предпринимательства).</w:t>
            </w:r>
          </w:p>
          <w:p w14:paraId="59F0A5E9" w14:textId="53882AFC" w:rsidR="00706D66" w:rsidRDefault="00C02EC7" w:rsidP="00706D66">
            <w:pPr>
              <w:spacing w:after="240"/>
              <w:ind w:left="80"/>
            </w:pPr>
            <w:r>
              <w:t>В целях экономии средств и повышения эффективности, как сообщается в отчете о ходе реализации проекта (</w:t>
            </w:r>
            <w:hyperlink r:id="rId19" w:history="1">
              <w:r>
                <w:rPr>
                  <w:rStyle w:val="Hyperlink"/>
                </w:rPr>
                <w:t>CDIP/29/2</w:t>
              </w:r>
            </w:hyperlink>
            <w:r>
              <w:t xml:space="preserve">, приложение V), пилотные учебные семинары были проведены в режиме онлайн.  Обучение состояло из двух занятий в неделю по каждому инструменту (одно теоретическое занятие и одно практическое занятие в группах с использованием отдельных виртуальных залов) и было проведено в течение семи недель. </w:t>
            </w:r>
          </w:p>
          <w:p w14:paraId="211996E9" w14:textId="111EC637" w:rsidR="000F6799" w:rsidRDefault="00D94686" w:rsidP="000F6799">
            <w:pPr>
              <w:pStyle w:val="TableParagraph"/>
              <w:spacing w:before="1"/>
              <w:ind w:left="109" w:right="805"/>
            </w:pPr>
            <w:r>
              <w:t>Организация обучения в виртуальном формате также дала возможность собрать вместе сотрудников ЦПТИ из двух сетей и содействовать обмену знаниями и опытом среди сотрудников ЦПТИ из Малайзии и Филиппин, что в конечном итоге способствовало развитию сотрудничества между государствами — членами Ассоциации государств Юго-Восточной Азии (АСЕАН) и таким образом стало вкладом в работу по достижению одной из ключевых целей региональной сети ЦПТИ АСЕАН.</w:t>
            </w:r>
          </w:p>
          <w:p w14:paraId="4B5DBA01" w14:textId="65B5993E" w:rsidR="0024603B" w:rsidRDefault="0024603B" w:rsidP="000F6799">
            <w:pPr>
              <w:pStyle w:val="TableParagraph"/>
              <w:spacing w:before="1"/>
              <w:ind w:left="109" w:right="805"/>
            </w:pPr>
          </w:p>
          <w:p w14:paraId="02C4DA69" w14:textId="4F74C71E" w:rsidR="0024603B" w:rsidRDefault="0024603B" w:rsidP="000F6799">
            <w:pPr>
              <w:pStyle w:val="TableParagraph"/>
              <w:spacing w:before="1"/>
              <w:ind w:left="109" w:right="805"/>
            </w:pPr>
            <w:r>
              <w:t xml:space="preserve">Для проведения учебных занятий Секретариат привлек поставщика услуг и эксперта по обучению, которые подготовили учебные материалы, чтобы обеспечить преемственность и наличие необходимых знаний и опыта для реализации обучения в пилотном режиме.    </w:t>
            </w:r>
          </w:p>
          <w:p w14:paraId="2C709885" w14:textId="7697F13E" w:rsidR="000F6799" w:rsidRDefault="000F6799" w:rsidP="000F6799">
            <w:pPr>
              <w:pStyle w:val="TableParagraph"/>
              <w:spacing w:before="1"/>
              <w:ind w:left="109" w:right="805"/>
            </w:pPr>
          </w:p>
          <w:p w14:paraId="7947FA31" w14:textId="492B8928" w:rsidR="00706D66" w:rsidRDefault="000F6799" w:rsidP="000F6799">
            <w:pPr>
              <w:pStyle w:val="TableParagraph"/>
              <w:spacing w:before="1"/>
              <w:ind w:left="109" w:right="805"/>
            </w:pPr>
            <w:r>
              <w:t xml:space="preserve">Для оценки учебных материалов и модели обучения Секретариат применил несколько подходов, в том числе:  (I) обсуждения в фокус-группах для сбора отзывов координаторов и участников в течение всего срока обучения; (ii) онлайн-обследование, которое было направлено всем участникам после обучения; и (iii) отчет эксперта по обучению, в котором были задокументированы наблюдения с педагогической точки зрения за проведением пакета учебных занятий в виртуальном формате, включая передовой опыт и недостатки, а также рекомендации по адаптации пакета учебных материалов в будущем и решению некоторых возникших проблем. </w:t>
            </w:r>
          </w:p>
          <w:p w14:paraId="0EE34DFF" w14:textId="1ACAC845" w:rsidR="000F6799" w:rsidRPr="00706D66" w:rsidRDefault="000F6799" w:rsidP="00B64B81">
            <w:pPr>
              <w:pStyle w:val="TableParagraph"/>
              <w:spacing w:before="1"/>
              <w:ind w:left="109" w:right="805"/>
            </w:pPr>
          </w:p>
        </w:tc>
      </w:tr>
      <w:tr w:rsidR="00F44760" w:rsidRPr="00706D66" w14:paraId="2DDF3FD3" w14:textId="77777777" w:rsidTr="00A820D6">
        <w:trPr>
          <w:trHeight w:val="801"/>
        </w:trPr>
        <w:tc>
          <w:tcPr>
            <w:tcW w:w="2377" w:type="dxa"/>
            <w:shd w:val="clear" w:color="auto" w:fill="8DB3E1"/>
          </w:tcPr>
          <w:p w14:paraId="7EDBDE5C" w14:textId="77777777" w:rsidR="00F44760" w:rsidRPr="00706D66" w:rsidRDefault="00F44760" w:rsidP="00F3367C">
            <w:pPr>
              <w:pStyle w:val="TableParagraph"/>
              <w:spacing w:line="242" w:lineRule="auto"/>
              <w:ind w:left="110" w:right="235"/>
            </w:pPr>
            <w:r>
              <w:rPr>
                <w:u w:val="single"/>
              </w:rPr>
              <w:t>Ключевые результаты и воздействие проекта</w:t>
            </w:r>
          </w:p>
        </w:tc>
        <w:tc>
          <w:tcPr>
            <w:tcW w:w="6913" w:type="dxa"/>
          </w:tcPr>
          <w:p w14:paraId="61FD0B24" w14:textId="089921DF" w:rsidR="002B17EE" w:rsidRDefault="00EA616D" w:rsidP="002B17EE">
            <w:pPr>
              <w:pStyle w:val="TableParagraph"/>
              <w:ind w:left="109" w:right="84"/>
            </w:pPr>
            <w:r>
              <w:t xml:space="preserve">Реализация проекта позволила достичь следующих результатов: </w:t>
            </w:r>
          </w:p>
          <w:p w14:paraId="495545D9" w14:textId="67656EB2" w:rsidR="002B17EE" w:rsidRDefault="002B17EE" w:rsidP="002B17EE">
            <w:pPr>
              <w:pStyle w:val="TableParagraph"/>
              <w:ind w:left="109" w:right="84"/>
            </w:pPr>
          </w:p>
          <w:p w14:paraId="39548CD7" w14:textId="60932AC9" w:rsidR="002B17EE" w:rsidRDefault="002B17EE" w:rsidP="00B62A5D">
            <w:pPr>
              <w:pStyle w:val="TableParagraph"/>
              <w:numPr>
                <w:ilvl w:val="0"/>
                <w:numId w:val="15"/>
              </w:numPr>
              <w:ind w:right="84"/>
            </w:pPr>
            <w:r>
              <w:t>Разработан инструментарий, состоящий из практических инструментов, который может быть полезным при принятии решения о целесообразности реализации РНП на основе результатов оценки патентной чистоты.</w:t>
            </w:r>
          </w:p>
          <w:p w14:paraId="36F54FBE" w14:textId="77777777" w:rsidR="002B17EE" w:rsidRDefault="002B17EE" w:rsidP="002B17EE">
            <w:pPr>
              <w:pStyle w:val="TableParagraph"/>
              <w:ind w:left="829" w:right="84"/>
            </w:pPr>
          </w:p>
          <w:p w14:paraId="1A400C15" w14:textId="0906DD97" w:rsidR="002B17EE" w:rsidRPr="00706D66" w:rsidRDefault="002B17EE" w:rsidP="00B62A5D">
            <w:pPr>
              <w:pStyle w:val="TableParagraph"/>
              <w:numPr>
                <w:ilvl w:val="0"/>
                <w:numId w:val="15"/>
              </w:numPr>
              <w:ind w:right="84"/>
            </w:pPr>
            <w:r>
              <w:t>Разработаны новый модульный подход в форме смешанного обучения и учебные материалы по эффективному использованию инструментария, в пилотном режиме опробованные в отдельных ЦПТИ в двух передовых сетях ЦПТИ (Малайзия и Филиппины) с целью проверки материалов и подхода к обучению и их доработки для целей будущих учебных мероприятий по той же теме и другим темам, касающимся деятельности ЦПТИ.</w:t>
            </w:r>
          </w:p>
          <w:p w14:paraId="50C9E5D5" w14:textId="5F47125B" w:rsidR="002B17EE" w:rsidRDefault="002B17EE" w:rsidP="002B17EE">
            <w:pPr>
              <w:pStyle w:val="TableParagraph"/>
              <w:ind w:left="109" w:right="84"/>
            </w:pPr>
          </w:p>
          <w:p w14:paraId="35B87271" w14:textId="13DF66FC" w:rsidR="003A2C7B" w:rsidRDefault="0063486A" w:rsidP="000D4612">
            <w:pPr>
              <w:pStyle w:val="TableParagraph"/>
              <w:ind w:left="109" w:right="84"/>
            </w:pPr>
            <w:r>
              <w:t xml:space="preserve">Хотя на данный момент еще слишком рано оценивать долгосрочное воздействие проекта, пилотное обучение использованию инструментария на основе учебных материалов в Малайзии и на Филиппинах позволило получить ряд ценных отзывов об инструментарии, учебных материалах и самом подходе.  В частности, отзывы, полученные в ходе учебных семинаров, помогли Секретариату определить сильные стороны нового модульного подхода в форме смешанного обучения, использованного для этих семинаров, а также аспекты использованного подхода, которые могут быть улучшены в интересах аналогичных обучающих мероприятий с ЦПТИ и другими заинтересованными сторонами в будущем.  </w:t>
            </w:r>
          </w:p>
          <w:p w14:paraId="7B00B92B" w14:textId="07E558C4" w:rsidR="003A2C7B" w:rsidRDefault="003A2C7B" w:rsidP="000D4612">
            <w:pPr>
              <w:pStyle w:val="TableParagraph"/>
              <w:ind w:left="109" w:right="84"/>
            </w:pPr>
          </w:p>
          <w:p w14:paraId="7B1105E4" w14:textId="3743DA3A" w:rsidR="003A2C7B" w:rsidRPr="00AC2727" w:rsidRDefault="00011957" w:rsidP="0063486A">
            <w:pPr>
              <w:pStyle w:val="TableParagraph"/>
              <w:spacing w:before="1"/>
              <w:ind w:left="109" w:right="805"/>
            </w:pPr>
            <w:r>
              <w:t xml:space="preserve">Ниже приведены некоторые ключевые моменты, выявленные в результате оценки учебных семинаров: </w:t>
            </w:r>
          </w:p>
          <w:p w14:paraId="193F905D" w14:textId="36920326" w:rsidR="00BB7EDE" w:rsidRPr="00AC2727" w:rsidRDefault="00BB7EDE" w:rsidP="0063486A">
            <w:pPr>
              <w:pStyle w:val="TableParagraph"/>
              <w:spacing w:before="1"/>
              <w:ind w:left="109" w:right="805"/>
            </w:pPr>
          </w:p>
          <w:p w14:paraId="4049B882" w14:textId="4C216B1F" w:rsidR="00FD0C14" w:rsidRDefault="00FD0C14" w:rsidP="00FD0C14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</w:pPr>
            <w:r>
              <w:t xml:space="preserve">Инструментарий рассматривается как важный новый ресурс для поддержки ЦПТИ, предоставляющих (или желающих предоставлять) услуги в области РНП, коммерциализации ИС и предпринимательства.  Многие участники отметили важность этих инструментов в качестве меры по поддержке их деятельности в указанных областях.  На Филиппинах сообщили, что ЦПТИ (известные там как ITSO) также рассматривают возможность включения данной темы в свою учебную программу. </w:t>
            </w:r>
          </w:p>
          <w:p w14:paraId="670830EC" w14:textId="77777777" w:rsidR="00FD0C14" w:rsidRDefault="00FD0C14" w:rsidP="00FD0C14">
            <w:pPr>
              <w:pStyle w:val="TableParagraph"/>
              <w:spacing w:before="1"/>
              <w:ind w:left="829" w:right="805"/>
            </w:pPr>
          </w:p>
          <w:p w14:paraId="24E9906B" w14:textId="0C46E15B" w:rsidR="00B62A5D" w:rsidRPr="00AC2727" w:rsidRDefault="00507988" w:rsidP="00545283">
            <w:pPr>
              <w:pStyle w:val="TableParagraph"/>
              <w:numPr>
                <w:ilvl w:val="0"/>
                <w:numId w:val="15"/>
              </w:numPr>
              <w:spacing w:before="1"/>
              <w:ind w:right="805"/>
            </w:pPr>
            <w:r>
              <w:t xml:space="preserve">Материалы инструментария признаны простыми и соответствующими уровню знаний и навыков участников, и семинары была полезными для формирования знаний и навыков, необходимых для использования инструментов из инструментария и применения их в рамках конкретных инициатив по РНП. </w:t>
            </w:r>
          </w:p>
          <w:p w14:paraId="2BD1E289" w14:textId="77777777" w:rsidR="00011957" w:rsidRDefault="00011957" w:rsidP="00011957">
            <w:pPr>
              <w:pStyle w:val="ListParagraph"/>
            </w:pPr>
          </w:p>
          <w:p w14:paraId="47F19C92" w14:textId="255B261F" w:rsidR="00DD4AA3" w:rsidRDefault="00731010" w:rsidP="00F2714D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</w:pPr>
            <w:r>
              <w:t xml:space="preserve">Участники также положительно отозвались о новом динамичном подходе к обучению в смешанной форме с применением как цифровых материалов, доступных для самостоятельного изучения, что обеспечивает гибкость графика обучения, так и учебных занятий в режиме реального времени, в рамках которых были организованы структурированное взаимодействие и обсуждения, с выделением достаточного количества времени для практических групповых упражнений. </w:t>
            </w:r>
          </w:p>
          <w:p w14:paraId="69B708F3" w14:textId="45F20BD2" w:rsidR="000F6799" w:rsidRPr="00355DF4" w:rsidRDefault="000F6799" w:rsidP="00DD4AA3">
            <w:pPr>
              <w:widowControl/>
              <w:autoSpaceDE/>
              <w:autoSpaceDN/>
            </w:pPr>
          </w:p>
        </w:tc>
      </w:tr>
      <w:tr w:rsidR="00F44760" w:rsidRPr="00706D66" w14:paraId="3BB872B1" w14:textId="77777777" w:rsidTr="00A820D6">
        <w:trPr>
          <w:trHeight w:val="711"/>
        </w:trPr>
        <w:tc>
          <w:tcPr>
            <w:tcW w:w="2377" w:type="dxa"/>
            <w:shd w:val="clear" w:color="auto" w:fill="8DB3E1"/>
          </w:tcPr>
          <w:p w14:paraId="68A04A8E" w14:textId="77777777" w:rsidR="00F44760" w:rsidRPr="00706D66" w:rsidRDefault="00F44760" w:rsidP="00F3367C">
            <w:pPr>
              <w:pStyle w:val="TableParagraph"/>
              <w:spacing w:before="1"/>
              <w:ind w:left="110" w:right="279"/>
            </w:pPr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</w:tcPr>
          <w:p w14:paraId="3D8C69AC" w14:textId="12D97B50" w:rsidR="00355DF4" w:rsidRDefault="001F00D5" w:rsidP="00355DF4">
            <w:pPr>
              <w:pStyle w:val="TableParagraph"/>
              <w:spacing w:after="240"/>
              <w:ind w:left="80" w:right="84"/>
            </w:pPr>
            <w:r>
              <w:t xml:space="preserve">При разработке материалов для инструментария и сопутствующих учебных пособий показал свою эффективность подход, при котором отбираются эксперты, обладающие углубленными знаниями в определенной области и опытом проведения курсов практической подготовки по указанной теме в интересах аудитории в развивающихся странах. </w:t>
            </w:r>
          </w:p>
          <w:p w14:paraId="66F16FA8" w14:textId="0FF91CC5" w:rsidR="00DD4AA3" w:rsidRPr="00355DF4" w:rsidRDefault="00DD4AA3" w:rsidP="00DD4AA3">
            <w:pPr>
              <w:pStyle w:val="TableParagraph"/>
              <w:spacing w:after="240"/>
              <w:ind w:left="80" w:right="84"/>
            </w:pPr>
            <w:r>
              <w:t>Несмотря на то что независимая экспертная оценка инструментария не была предусмотрена проектом, этот дополнительный этап был признан крайне важным: (i) для обеспечения должного представления как юридических, так и деловых аспектов в рамках РНП; и (ii) для повышения качества конечных продуктов.  Таким образом, независимая оценка была профинансирована из регулярного бюджета Департамента ИС для новаторов.</w:t>
            </w:r>
          </w:p>
          <w:p w14:paraId="4F58B537" w14:textId="62D16F3B" w:rsidR="00DD4AA3" w:rsidRDefault="00DD4AA3" w:rsidP="00DD4AA3">
            <w:pPr>
              <w:pStyle w:val="TableParagraph"/>
              <w:spacing w:after="240"/>
              <w:ind w:left="80" w:right="84"/>
            </w:pPr>
            <w:r>
              <w:t xml:space="preserve">Что касается процесса создания коротких учебных видеороликов, то было крайне полезно привлечь экспертов в данной области для всего процесса, начиная с подготовки сценариев и раскадровки и кончая финальной анимацией, для того чтобы ключевые идеи и концепции были переданы в конечных видеороликах должным образом.  В частности, участие экспертов в подготовке предварительных сценариев и визуальных рядов имело решающее значение для того, чтобы разъяснить компании по производству видеоматериалов ключевую идею каждого видеоролика.  </w:t>
            </w:r>
          </w:p>
          <w:p w14:paraId="7A35A6F4" w14:textId="1406B767" w:rsidR="006162A1" w:rsidRDefault="00A501CC" w:rsidP="006162A1">
            <w:pPr>
              <w:pStyle w:val="TableParagraph"/>
              <w:spacing w:after="240"/>
              <w:ind w:left="80" w:right="84"/>
            </w:pPr>
            <w:r>
              <w:t xml:space="preserve">Что касается учебных семинаров, то, по отзывам участников и эксперта по обучению, которому было поручено документировать учебный процесс с педагогической точки зрения, новый подход к обучению в смешанной форме, опробованный в сетях ЦПТИ в Малайзии и на Филиппинах, оказался успешным способом проведения обучения.  Несмотря на то что некоторые элементы данного курса было бы полезно провести очно, организация обучения в виртуальном формате позволила собрать вместе участников из двух сетей ЦПТИ и способствовала обмену опытом и установлению профессиональных контактов экономически эффективным способом. </w:t>
            </w:r>
          </w:p>
          <w:p w14:paraId="1888307A" w14:textId="4EACA257" w:rsidR="00A501CC" w:rsidRPr="00355DF4" w:rsidRDefault="00A501CC" w:rsidP="006162A1">
            <w:pPr>
              <w:pStyle w:val="TableParagraph"/>
              <w:spacing w:after="240"/>
              <w:ind w:left="80" w:right="84"/>
            </w:pPr>
            <w:r>
              <w:t xml:space="preserve">Извлеченные уроки, передовой опыт и недостатки, выявленные в ходе данного обучения, будут особенно полезны при адаптации материалов и подхода для будущих учебных программ по данной тематике и внесении в курс потенциальных улучшений.  Извлеченные уроки также станут полезным вкладом в разработку других учебных мероприятий с использованием аналогичного подхода. </w:t>
            </w:r>
          </w:p>
        </w:tc>
      </w:tr>
      <w:tr w:rsidR="00F44760" w:rsidRPr="00706D66" w14:paraId="3021933D" w14:textId="77777777" w:rsidTr="00A820D6">
        <w:trPr>
          <w:trHeight w:val="631"/>
        </w:trPr>
        <w:tc>
          <w:tcPr>
            <w:tcW w:w="2377" w:type="dxa"/>
            <w:shd w:val="clear" w:color="auto" w:fill="8DB3E1"/>
          </w:tcPr>
          <w:p w14:paraId="2E14B6E2" w14:textId="77777777" w:rsidR="00F44760" w:rsidRPr="00706D66" w:rsidRDefault="00F44760" w:rsidP="00F3367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Риски и их смягчение</w:t>
            </w:r>
          </w:p>
        </w:tc>
        <w:tc>
          <w:tcPr>
            <w:tcW w:w="6913" w:type="dxa"/>
          </w:tcPr>
          <w:p w14:paraId="05BCF933" w14:textId="0C4DE086" w:rsidR="00355DF4" w:rsidRPr="00355DF4" w:rsidRDefault="00355DF4" w:rsidP="00355DF4">
            <w:pPr>
              <w:pStyle w:val="TableParagraph"/>
              <w:spacing w:after="240"/>
              <w:ind w:left="80" w:right="720"/>
            </w:pPr>
            <w:r>
              <w:t>Риск 1:  Недостаточная подготовка сотрудников ЦПТИ для понимания и эффективного использования информации, содержащейся в инструментарии.</w:t>
            </w:r>
          </w:p>
          <w:p w14:paraId="436A88E3" w14:textId="23D70E0C" w:rsidR="00355DF4" w:rsidRPr="00355DF4" w:rsidRDefault="00355DF4" w:rsidP="00355DF4">
            <w:pPr>
              <w:pStyle w:val="TableParagraph"/>
              <w:spacing w:after="240"/>
              <w:ind w:left="80" w:right="720"/>
            </w:pPr>
            <w:r>
              <w:t>Мера по снижению риска 1:  Инструментарий и сопутствующие учебные материалы будут и далее адаптироваться с учетом оценки потенциала сотрудников ЦПТИ и их знаний и опыта, чтобы обеспечить понятность используемых примеров.</w:t>
            </w:r>
          </w:p>
          <w:p w14:paraId="7E64C164" w14:textId="77777777" w:rsidR="00355DF4" w:rsidRPr="00355DF4" w:rsidRDefault="00355DF4" w:rsidP="00355DF4">
            <w:pPr>
              <w:pStyle w:val="TableParagraph"/>
              <w:spacing w:after="240"/>
              <w:ind w:left="80" w:right="720"/>
            </w:pPr>
            <w:r>
              <w:t>Риск 2:  Недостаточный уровень зрелости ЦПТИ для разработки и предоставления услуг по использованию изобретений, находящихся в сфере общественного достояния.</w:t>
            </w:r>
          </w:p>
          <w:p w14:paraId="396EF230" w14:textId="56714488" w:rsidR="00355DF4" w:rsidRPr="00355DF4" w:rsidRDefault="00355DF4" w:rsidP="00355DF4">
            <w:pPr>
              <w:pStyle w:val="TableParagraph"/>
              <w:spacing w:after="240"/>
              <w:ind w:left="80" w:right="720"/>
            </w:pPr>
            <w:r>
              <w:t>Мера по снижению риска 2:  В будущем для прохождения обучения по данной тематике будут отбираться ЦПТИ достаточного уровня зрелости.  Отбор участников будет проводиться в тесном сотрудничестве с координаторами национальных сетей ЦПТИ, таким образом можно будет гарантировать их соответствие критериям, необходимым для участия в обучении, и получение от него максимальной пользы.</w:t>
            </w:r>
          </w:p>
          <w:p w14:paraId="779F8F4B" w14:textId="4E6CAC98" w:rsidR="00355DF4" w:rsidRPr="00355DF4" w:rsidRDefault="00355DF4" w:rsidP="00355DF4">
            <w:pPr>
              <w:pStyle w:val="TableParagraph"/>
              <w:spacing w:after="240"/>
              <w:ind w:left="80" w:right="720"/>
            </w:pPr>
            <w:r>
              <w:t xml:space="preserve">Риск 3:  Невозможность проведения обучения по данной тематике в очной форме целиком или частично из-за бюджетных или иных ограничений. </w:t>
            </w:r>
          </w:p>
          <w:p w14:paraId="079D1454" w14:textId="455635E8" w:rsidR="005F7778" w:rsidRPr="00355DF4" w:rsidRDefault="00355DF4" w:rsidP="005F7778">
            <w:pPr>
              <w:pStyle w:val="TableParagraph"/>
              <w:spacing w:after="240"/>
              <w:ind w:left="80" w:right="720"/>
            </w:pPr>
            <w:r>
              <w:t xml:space="preserve">Мера по снижению риска 3:  Модульный подход к обучению в смешанной форме и учебные материалы будут и дальше адаптироваться с тем, чтобы обеспечить желаемый эффект от обучения даже в том случае, если его придется проводить полностью виртуально. </w:t>
            </w:r>
          </w:p>
        </w:tc>
      </w:tr>
      <w:tr w:rsidR="00F44760" w:rsidRPr="00706D66" w14:paraId="54FB5FC1" w14:textId="77777777" w:rsidTr="00A820D6">
        <w:trPr>
          <w:trHeight w:val="703"/>
        </w:trPr>
        <w:tc>
          <w:tcPr>
            <w:tcW w:w="2377" w:type="dxa"/>
            <w:shd w:val="clear" w:color="auto" w:fill="8DB3E1"/>
          </w:tcPr>
          <w:p w14:paraId="131A51E5" w14:textId="77777777" w:rsidR="00F44760" w:rsidRPr="00706D66" w:rsidRDefault="00F44760" w:rsidP="00F3367C">
            <w:pPr>
              <w:pStyle w:val="TableParagraph"/>
              <w:ind w:left="110" w:right="212"/>
            </w:pPr>
            <w:r>
              <w:rPr>
                <w:u w:val="single"/>
              </w:rPr>
              <w:t>Показатель освоения средств по проекту</w:t>
            </w:r>
          </w:p>
        </w:tc>
        <w:tc>
          <w:tcPr>
            <w:tcW w:w="6913" w:type="dxa"/>
          </w:tcPr>
          <w:p w14:paraId="73C483A6" w14:textId="17A51715" w:rsidR="00F44760" w:rsidRPr="00706D66" w:rsidRDefault="00DA509B" w:rsidP="00CB37D2">
            <w:pPr>
              <w:pStyle w:val="TableParagraph"/>
              <w:ind w:left="109" w:right="683"/>
            </w:pPr>
            <w:r>
              <w:t>На конец декабря 2023 года показатель освоения средств по проекту, пропорциональный общему выделенному бюджету проекта, составил: 98 %. Дополнительная информация приводится в приложении II к настоящему документу.</w:t>
            </w:r>
          </w:p>
        </w:tc>
      </w:tr>
      <w:tr w:rsidR="00F44760" w:rsidRPr="00706D66" w14:paraId="53A7A4A5" w14:textId="77777777" w:rsidTr="00A820D6">
        <w:trPr>
          <w:trHeight w:val="631"/>
        </w:trPr>
        <w:tc>
          <w:tcPr>
            <w:tcW w:w="2377" w:type="dxa"/>
            <w:shd w:val="clear" w:color="auto" w:fill="8DB3E1"/>
          </w:tcPr>
          <w:p w14:paraId="4A95510B" w14:textId="77777777" w:rsidR="00F44760" w:rsidRPr="00706D66" w:rsidRDefault="00F44760" w:rsidP="00F3367C">
            <w:pPr>
              <w:pStyle w:val="TableParagraph"/>
              <w:ind w:left="110"/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</w:tcPr>
          <w:p w14:paraId="7C57D868" w14:textId="44C849F9" w:rsidR="00D519DE" w:rsidRPr="00706D66" w:rsidRDefault="00D519DE" w:rsidP="00F12CC7">
            <w:pPr>
              <w:pStyle w:val="TableParagraph"/>
              <w:spacing w:after="80"/>
              <w:ind w:left="115" w:right="255"/>
            </w:pPr>
            <w:r>
              <w:t>1. Первый отчет о ходе работы содержится в приложении V к документу CDIP/29/2.</w:t>
            </w:r>
          </w:p>
          <w:p w14:paraId="5D52FC58" w14:textId="769F1895" w:rsidR="006928DE" w:rsidRPr="00706D66" w:rsidRDefault="00D519DE" w:rsidP="00E71CC7">
            <w:pPr>
              <w:pStyle w:val="TableParagraph"/>
              <w:spacing w:after="80"/>
              <w:ind w:left="115"/>
            </w:pPr>
            <w:r>
              <w:t>2. Второй отчет о ходе работы содержится в приложении II к документу CDIP/31/3.</w:t>
            </w:r>
          </w:p>
        </w:tc>
      </w:tr>
      <w:tr w:rsidR="00F44760" w:rsidRPr="00706D66" w14:paraId="424F691E" w14:textId="77777777" w:rsidTr="00A820D6">
        <w:trPr>
          <w:trHeight w:val="846"/>
        </w:trPr>
        <w:tc>
          <w:tcPr>
            <w:tcW w:w="2377" w:type="dxa"/>
            <w:shd w:val="clear" w:color="auto" w:fill="8DB3E1"/>
          </w:tcPr>
          <w:p w14:paraId="61641E43" w14:textId="77777777" w:rsidR="00F44760" w:rsidRPr="00706D66" w:rsidRDefault="00F44760" w:rsidP="00F3367C">
            <w:pPr>
              <w:pStyle w:val="TableParagraph"/>
              <w:ind w:left="110" w:right="855"/>
            </w:pPr>
            <w:r>
              <w:rPr>
                <w:u w:val="single"/>
              </w:rPr>
              <w:t>Последующие действия и распространение информации</w:t>
            </w:r>
          </w:p>
        </w:tc>
        <w:tc>
          <w:tcPr>
            <w:tcW w:w="6913" w:type="dxa"/>
          </w:tcPr>
          <w:p w14:paraId="39602D96" w14:textId="37BCB47B" w:rsidR="00E1708A" w:rsidRDefault="00E1708A" w:rsidP="00E1708A">
            <w:pPr>
              <w:pStyle w:val="TableParagraph"/>
              <w:spacing w:after="120"/>
              <w:ind w:left="115"/>
            </w:pPr>
            <w:r>
              <w:t xml:space="preserve">Ниже представлены предлагаемые последующие действия для обеспечения устойчивости проекта: </w:t>
            </w:r>
          </w:p>
          <w:p w14:paraId="52DE23A4" w14:textId="0A890825" w:rsidR="00556112" w:rsidRDefault="00885615" w:rsidP="00E1708A">
            <w:pPr>
              <w:pStyle w:val="TableParagraph"/>
              <w:numPr>
                <w:ilvl w:val="0"/>
                <w:numId w:val="18"/>
              </w:numPr>
              <w:spacing w:after="120"/>
            </w:pPr>
            <w:r>
              <w:t>Профессиональное редактирование и оформление инструментария для публикации на специальной веб-странице: (</w:t>
            </w:r>
            <w:hyperlink r:id="rId20" w:history="1">
              <w:r>
                <w:rPr>
                  <w:rStyle w:val="Hyperlink"/>
                </w:rPr>
                <w:t>www.wipo.int/tisc/ru/inventions-public-domain.html</w:t>
              </w:r>
            </w:hyperlink>
            <w:r>
              <w:rPr>
                <w:rStyle w:val="Hyperlink"/>
                <w:color w:val="auto"/>
              </w:rPr>
              <w:t xml:space="preserve">). </w:t>
            </w:r>
          </w:p>
          <w:p w14:paraId="331B6D17" w14:textId="4295C69E" w:rsidR="00885615" w:rsidRDefault="00556112" w:rsidP="00885615">
            <w:pPr>
              <w:pStyle w:val="TableParagraph"/>
              <w:numPr>
                <w:ilvl w:val="0"/>
                <w:numId w:val="17"/>
              </w:numPr>
              <w:spacing w:after="120"/>
            </w:pPr>
            <w:r>
              <w:t xml:space="preserve">Перевод инструментария на все официальные языки ООН. </w:t>
            </w:r>
          </w:p>
          <w:p w14:paraId="0239B83D" w14:textId="06F17996" w:rsidR="00B54FF6" w:rsidRDefault="0019195D" w:rsidP="00885615">
            <w:pPr>
              <w:pStyle w:val="TableParagraph"/>
              <w:numPr>
                <w:ilvl w:val="0"/>
                <w:numId w:val="17"/>
              </w:numPr>
              <w:spacing w:after="120"/>
            </w:pPr>
            <w:r>
              <w:t>Пересмотр подхода к обучению и материалов на основе отзывов, полученных в ходе пилотного обучения, с целью адаптации и расширения масштабов обучения для охвата других сетей ЦПТИ и заинтересованных сторон, отвечающих требованиям к участию.</w:t>
            </w:r>
          </w:p>
          <w:p w14:paraId="01796EB6" w14:textId="326EA06E" w:rsidR="00A367D7" w:rsidRDefault="00A367D7" w:rsidP="00A367D7">
            <w:pPr>
              <w:pStyle w:val="ListParagraph"/>
              <w:numPr>
                <w:ilvl w:val="0"/>
                <w:numId w:val="17"/>
              </w:numPr>
            </w:pPr>
            <w:r>
              <w:t>Интеграция инструментария и учебных материалов в регулярные программы ВОИС по обучению ЦПТИ и аналогичных заинтересованных сторон, а также в другие соответствующие мероприятия и проекты, в частности в области коммерциализации прав ИС и ИС для бизнеса.</w:t>
            </w:r>
          </w:p>
          <w:p w14:paraId="7CA765C7" w14:textId="77777777" w:rsidR="00A367D7" w:rsidRPr="00A367D7" w:rsidRDefault="00A367D7" w:rsidP="00A367D7">
            <w:pPr>
              <w:pStyle w:val="ListParagraph"/>
              <w:ind w:left="835"/>
            </w:pPr>
          </w:p>
          <w:p w14:paraId="78271ADF" w14:textId="77777777" w:rsidR="004938E8" w:rsidRPr="0013262D" w:rsidRDefault="00A367D7" w:rsidP="00A367D7">
            <w:pPr>
              <w:pStyle w:val="ListParagraph"/>
              <w:numPr>
                <w:ilvl w:val="0"/>
                <w:numId w:val="17"/>
              </w:numPr>
            </w:pPr>
            <w:r>
              <w:t>Распространение учебных ресурсов с помощью подходящих для этих целей платформ, включая специальную веб-страницу, должным образом связанную с другими соответствующими веб-страницами и электронной платформой для ЦПТИ eTISC.</w:t>
            </w:r>
          </w:p>
          <w:p w14:paraId="0F3ED50D" w14:textId="77777777" w:rsidR="0013262D" w:rsidRDefault="0013262D" w:rsidP="00C8731E">
            <w:pPr>
              <w:pStyle w:val="ListParagraph"/>
            </w:pPr>
          </w:p>
          <w:p w14:paraId="033278C2" w14:textId="67F6061E" w:rsidR="0013262D" w:rsidRPr="00B54FF6" w:rsidRDefault="0013262D" w:rsidP="00A367D7">
            <w:pPr>
              <w:pStyle w:val="ListParagraph"/>
              <w:numPr>
                <w:ilvl w:val="0"/>
                <w:numId w:val="17"/>
              </w:numPr>
            </w:pPr>
            <w:r>
              <w:t>Информирование о новых ресурсах для повышения их известности.</w:t>
            </w:r>
          </w:p>
        </w:tc>
      </w:tr>
    </w:tbl>
    <w:p w14:paraId="5C7EDD73" w14:textId="268D8633" w:rsidR="005635C7" w:rsidRPr="00706D66" w:rsidRDefault="005635C7" w:rsidP="005635C7">
      <w:pPr>
        <w:pStyle w:val="BodyText"/>
        <w:spacing w:after="240"/>
        <w:ind w:left="130"/>
        <w:rPr>
          <w:szCs w:val="22"/>
        </w:rPr>
      </w:pPr>
      <w:r>
        <w:br w:type="page"/>
      </w:r>
    </w:p>
    <w:p w14:paraId="60F61712" w14:textId="1F6E1095" w:rsidR="00F44760" w:rsidRPr="00706D66" w:rsidRDefault="00F44760" w:rsidP="005635C7">
      <w:pPr>
        <w:pStyle w:val="BodyText"/>
        <w:spacing w:after="240"/>
        <w:ind w:left="130"/>
        <w:rPr>
          <w:szCs w:val="22"/>
        </w:rPr>
      </w:pPr>
      <w:r>
        <w:t>САМООЦЕНКА ПРОЕКТА</w:t>
      </w:r>
    </w:p>
    <w:p w14:paraId="37EA43D7" w14:textId="0DE8772E" w:rsidR="00F44760" w:rsidRPr="00706D66" w:rsidRDefault="00F44760" w:rsidP="00F3367C">
      <w:pPr>
        <w:pStyle w:val="BodyText"/>
        <w:ind w:left="136"/>
        <w:rPr>
          <w:szCs w:val="22"/>
        </w:rPr>
      </w:pPr>
      <w:r>
        <w:t>Значения сигнальной системы (СС)</w:t>
      </w: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F44760" w:rsidRPr="00706D66" w14:paraId="662FE621" w14:textId="77777777" w:rsidTr="003A7C75">
        <w:trPr>
          <w:trHeight w:val="470"/>
        </w:trPr>
        <w:tc>
          <w:tcPr>
            <w:tcW w:w="1416" w:type="dxa"/>
            <w:shd w:val="clear" w:color="auto" w:fill="7BBEDA"/>
          </w:tcPr>
          <w:p w14:paraId="31397349" w14:textId="77777777" w:rsidR="00F44760" w:rsidRPr="00706D66" w:rsidRDefault="00F44760" w:rsidP="00F3367C">
            <w:pPr>
              <w:pStyle w:val="TableParagraph"/>
              <w:spacing w:before="105"/>
              <w:ind w:left="110"/>
            </w:pPr>
            <w:r>
              <w:t>****</w:t>
            </w:r>
          </w:p>
        </w:tc>
        <w:tc>
          <w:tcPr>
            <w:tcW w:w="1678" w:type="dxa"/>
            <w:shd w:val="clear" w:color="auto" w:fill="7BBEDA"/>
          </w:tcPr>
          <w:p w14:paraId="04088BBE" w14:textId="77777777" w:rsidR="00F44760" w:rsidRPr="00706D66" w:rsidRDefault="00F44760" w:rsidP="00F3367C">
            <w:pPr>
              <w:pStyle w:val="TableParagraph"/>
              <w:spacing w:before="105"/>
              <w:ind w:left="110"/>
            </w:pPr>
            <w:r>
              <w:t>***</w:t>
            </w:r>
          </w:p>
        </w:tc>
        <w:tc>
          <w:tcPr>
            <w:tcW w:w="1798" w:type="dxa"/>
            <w:shd w:val="clear" w:color="auto" w:fill="7BBEDA"/>
          </w:tcPr>
          <w:p w14:paraId="56E5B1CB" w14:textId="77777777" w:rsidR="00F44760" w:rsidRPr="00706D66" w:rsidRDefault="00F44760" w:rsidP="00F3367C">
            <w:pPr>
              <w:pStyle w:val="TableParagraph"/>
              <w:spacing w:before="105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</w:tcPr>
          <w:p w14:paraId="44E2944F" w14:textId="77777777" w:rsidR="00F44760" w:rsidRPr="00706D66" w:rsidRDefault="00F44760" w:rsidP="00F3367C">
            <w:pPr>
              <w:pStyle w:val="TableParagraph"/>
              <w:spacing w:before="105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</w:tcPr>
          <w:p w14:paraId="43607331" w14:textId="77777777" w:rsidR="00F44760" w:rsidRPr="00706D66" w:rsidRDefault="00F44760" w:rsidP="00F3367C">
            <w:pPr>
              <w:pStyle w:val="TableParagraph"/>
              <w:spacing w:before="105"/>
              <w:ind w:left="110"/>
            </w:pPr>
            <w:r>
              <w:t>Неприменимо</w:t>
            </w:r>
          </w:p>
        </w:tc>
      </w:tr>
      <w:tr w:rsidR="00F44760" w:rsidRPr="00706D66" w14:paraId="3CB62A1C" w14:textId="77777777" w:rsidTr="003A7C75">
        <w:trPr>
          <w:trHeight w:val="506"/>
        </w:trPr>
        <w:tc>
          <w:tcPr>
            <w:tcW w:w="1416" w:type="dxa"/>
            <w:shd w:val="clear" w:color="auto" w:fill="7BBEDA"/>
          </w:tcPr>
          <w:p w14:paraId="569C7D31" w14:textId="77777777" w:rsidR="00F44760" w:rsidRPr="00706D66" w:rsidRDefault="00F44760" w:rsidP="00F3367C">
            <w:pPr>
              <w:pStyle w:val="TableParagraph"/>
              <w:spacing w:line="252" w:lineRule="exact"/>
              <w:ind w:left="110" w:right="408"/>
            </w:pPr>
            <w:r>
              <w:t>Реализовано полностью</w:t>
            </w:r>
          </w:p>
        </w:tc>
        <w:tc>
          <w:tcPr>
            <w:tcW w:w="1678" w:type="dxa"/>
            <w:shd w:val="clear" w:color="auto" w:fill="7BBEDA"/>
          </w:tcPr>
          <w:p w14:paraId="4C7BAEA5" w14:textId="77777777" w:rsidR="00F44760" w:rsidRPr="00706D66" w:rsidRDefault="00F44760" w:rsidP="00F3367C">
            <w:pPr>
              <w:pStyle w:val="TableParagraph"/>
              <w:spacing w:line="252" w:lineRule="exact"/>
              <w:ind w:left="110" w:right="687"/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</w:tcPr>
          <w:p w14:paraId="3FE7D4B8" w14:textId="77777777" w:rsidR="00F44760" w:rsidRPr="00706D66" w:rsidRDefault="00F44760" w:rsidP="00F3367C">
            <w:pPr>
              <w:pStyle w:val="TableParagraph"/>
              <w:spacing w:line="251" w:lineRule="exact"/>
              <w:ind w:left="108"/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</w:tcPr>
          <w:p w14:paraId="3BD87C72" w14:textId="77777777" w:rsidR="00F44760" w:rsidRPr="00706D66" w:rsidRDefault="00F44760" w:rsidP="00F3367C">
            <w:pPr>
              <w:pStyle w:val="TableParagraph"/>
              <w:spacing w:line="251" w:lineRule="exact"/>
              <w:ind w:left="108"/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</w:tcPr>
          <w:p w14:paraId="7B2B06F0" w14:textId="77777777" w:rsidR="00F44760" w:rsidRPr="00706D66" w:rsidRDefault="00F44760" w:rsidP="00F3367C">
            <w:pPr>
              <w:pStyle w:val="TableParagraph"/>
              <w:spacing w:line="252" w:lineRule="exact"/>
              <w:ind w:left="110" w:right="203"/>
            </w:pPr>
            <w:r>
              <w:t>Прогресс пока не оценен / цель упразднена</w:t>
            </w:r>
          </w:p>
        </w:tc>
      </w:tr>
    </w:tbl>
    <w:p w14:paraId="337A5701" w14:textId="77777777" w:rsidR="00F44760" w:rsidRPr="00706D66" w:rsidRDefault="00F44760" w:rsidP="00F3367C">
      <w:pPr>
        <w:pStyle w:val="BodyText"/>
        <w:spacing w:before="10"/>
        <w:rPr>
          <w:szCs w:val="22"/>
        </w:rPr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F44760" w:rsidRPr="00706D66" w14:paraId="6D65B3A9" w14:textId="77777777" w:rsidTr="00345C86">
        <w:trPr>
          <w:trHeight w:val="1265"/>
        </w:trPr>
        <w:tc>
          <w:tcPr>
            <w:tcW w:w="2410" w:type="dxa"/>
            <w:shd w:val="clear" w:color="auto" w:fill="8DB3E1"/>
          </w:tcPr>
          <w:p w14:paraId="77688B3D" w14:textId="77777777" w:rsidR="00F44760" w:rsidRPr="00706D66" w:rsidRDefault="00F44760" w:rsidP="00F3367C">
            <w:pPr>
              <w:pStyle w:val="TableParagraph"/>
              <w:spacing w:before="10"/>
            </w:pPr>
          </w:p>
          <w:p w14:paraId="00B2A71D" w14:textId="33BE1E24" w:rsidR="00F44760" w:rsidRPr="00706D66" w:rsidRDefault="00F44760" w:rsidP="00F3367C">
            <w:pPr>
              <w:pStyle w:val="TableParagraph"/>
              <w:ind w:left="110" w:right="624"/>
            </w:pPr>
            <w:r>
              <w:rPr>
                <w:u w:val="single"/>
              </w:rPr>
              <w:t>Предварительные 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8DB3E1"/>
          </w:tcPr>
          <w:p w14:paraId="60C1B210" w14:textId="77777777" w:rsidR="00F44760" w:rsidRPr="00706D66" w:rsidRDefault="00F44760" w:rsidP="00F3367C">
            <w:pPr>
              <w:pStyle w:val="TableParagraph"/>
              <w:spacing w:before="10"/>
            </w:pPr>
          </w:p>
          <w:p w14:paraId="01D9084D" w14:textId="77777777" w:rsidR="00F44760" w:rsidRPr="00706D66" w:rsidRDefault="00F44760" w:rsidP="00F3367C">
            <w:pPr>
              <w:pStyle w:val="TableParagraph"/>
              <w:ind w:left="110" w:right="236"/>
            </w:pPr>
            <w:r>
              <w:rPr>
                <w:u w:val="single"/>
              </w:rPr>
              <w:t>Показатели успешного завершения</w:t>
            </w:r>
          </w:p>
          <w:p w14:paraId="7E2033E8" w14:textId="77777777" w:rsidR="00F44760" w:rsidRPr="00706D66" w:rsidRDefault="00F44760" w:rsidP="00F3367C">
            <w:pPr>
              <w:pStyle w:val="TableParagraph"/>
              <w:spacing w:line="252" w:lineRule="exact"/>
              <w:ind w:left="110"/>
            </w:pPr>
            <w:r>
              <w:t>(показатели предварительных результатов)</w:t>
            </w:r>
          </w:p>
        </w:tc>
        <w:tc>
          <w:tcPr>
            <w:tcW w:w="3401" w:type="dxa"/>
            <w:shd w:val="clear" w:color="auto" w:fill="8DB3E1"/>
          </w:tcPr>
          <w:p w14:paraId="3474457E" w14:textId="77777777" w:rsidR="00F44760" w:rsidRPr="00706D66" w:rsidRDefault="00F44760" w:rsidP="00F3367C">
            <w:pPr>
              <w:pStyle w:val="TableParagraph"/>
              <w:spacing w:before="10"/>
            </w:pPr>
          </w:p>
          <w:p w14:paraId="6B9AC711" w14:textId="77777777" w:rsidR="00F44760" w:rsidRPr="00706D66" w:rsidRDefault="00F44760" w:rsidP="00F3367C">
            <w:pPr>
              <w:pStyle w:val="TableParagraph"/>
              <w:ind w:left="108"/>
            </w:pPr>
            <w:r>
              <w:rPr>
                <w:u w:val="single"/>
              </w:rPr>
              <w:t>Данные о результативности</w:t>
            </w:r>
          </w:p>
        </w:tc>
        <w:tc>
          <w:tcPr>
            <w:tcW w:w="876" w:type="dxa"/>
            <w:shd w:val="clear" w:color="auto" w:fill="8DB3E1"/>
          </w:tcPr>
          <w:p w14:paraId="2BD3BE47" w14:textId="77777777" w:rsidR="00F44760" w:rsidRPr="00706D66" w:rsidRDefault="00F44760" w:rsidP="00F3367C">
            <w:pPr>
              <w:pStyle w:val="TableParagraph"/>
              <w:spacing w:before="10"/>
            </w:pPr>
          </w:p>
          <w:p w14:paraId="7537813B" w14:textId="77777777" w:rsidR="00F44760" w:rsidRPr="00706D66" w:rsidRDefault="00F44760" w:rsidP="00F3367C">
            <w:pPr>
              <w:pStyle w:val="TableParagraph"/>
              <w:ind w:left="111"/>
            </w:pPr>
            <w:r>
              <w:rPr>
                <w:u w:val="single"/>
              </w:rPr>
              <w:t>CC</w:t>
            </w:r>
          </w:p>
        </w:tc>
      </w:tr>
      <w:tr w:rsidR="00345C86" w:rsidRPr="00706D66" w14:paraId="1DD45771" w14:textId="77777777" w:rsidTr="00735A98">
        <w:trPr>
          <w:trHeight w:val="3415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12BA11BC" w14:textId="337342A4" w:rsidR="00DC79FC" w:rsidRDefault="00345C86" w:rsidP="00DC79FC">
            <w:pPr>
              <w:pStyle w:val="TableParagraph"/>
            </w:pPr>
            <w:r>
              <w:t>Предварительный результат 1: инструментарий, охватывающий четыре этапа разработки продукта или услуги и выяснение, находится ли изобретение в сфере общественного достояния</w:t>
            </w:r>
          </w:p>
          <w:p w14:paraId="7D7104B2" w14:textId="77777777" w:rsidR="00735A98" w:rsidRDefault="00735A98" w:rsidP="00DC79FC">
            <w:pPr>
              <w:pStyle w:val="TableParagraph"/>
            </w:pPr>
          </w:p>
          <w:p w14:paraId="435A32A5" w14:textId="77777777" w:rsidR="00735A98" w:rsidRDefault="00735A98" w:rsidP="00DC79FC">
            <w:pPr>
              <w:pStyle w:val="TableParagraph"/>
            </w:pPr>
          </w:p>
          <w:p w14:paraId="4F959366" w14:textId="77777777" w:rsidR="00735A98" w:rsidRDefault="00735A98" w:rsidP="00DC79FC">
            <w:pPr>
              <w:pStyle w:val="TableParagraph"/>
            </w:pPr>
          </w:p>
          <w:p w14:paraId="77407607" w14:textId="77777777" w:rsidR="00F61F09" w:rsidRDefault="00F61F09" w:rsidP="00DC79FC">
            <w:pPr>
              <w:pStyle w:val="TableParagraph"/>
            </w:pPr>
          </w:p>
          <w:p w14:paraId="73A6E680" w14:textId="77777777" w:rsidR="00F61F09" w:rsidRDefault="00F61F09" w:rsidP="00DC79FC">
            <w:pPr>
              <w:pStyle w:val="TableParagraph"/>
            </w:pPr>
          </w:p>
          <w:p w14:paraId="71AA44B7" w14:textId="4383AF2A" w:rsidR="007A4050" w:rsidRPr="00706D66" w:rsidRDefault="007A4050" w:rsidP="00F3367C">
            <w:pPr>
              <w:rPr>
                <w:bCs/>
              </w:rPr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7F0468" w14:textId="6F66D9B5" w:rsidR="00DC79FC" w:rsidRDefault="00DC79FC" w:rsidP="00DC79FC">
            <w:pPr>
              <w:pStyle w:val="TableParagraph"/>
              <w:rPr>
                <w:bCs/>
              </w:rPr>
            </w:pPr>
            <w:r>
              <w:t>Инструментарий разработан и опубликован.</w:t>
            </w:r>
          </w:p>
          <w:p w14:paraId="3C0E3DF6" w14:textId="77777777" w:rsidR="00735A98" w:rsidRDefault="00735A98" w:rsidP="00DC79FC">
            <w:pPr>
              <w:pStyle w:val="TableParagraph"/>
              <w:rPr>
                <w:bCs/>
              </w:rPr>
            </w:pPr>
          </w:p>
          <w:p w14:paraId="0B9356C6" w14:textId="77777777" w:rsidR="00735A98" w:rsidRDefault="00735A98" w:rsidP="00DC79FC">
            <w:pPr>
              <w:pStyle w:val="TableParagraph"/>
              <w:rPr>
                <w:bCs/>
              </w:rPr>
            </w:pPr>
          </w:p>
          <w:p w14:paraId="4A2677B2" w14:textId="77777777" w:rsidR="00735A98" w:rsidRDefault="00735A98" w:rsidP="00DC79FC">
            <w:pPr>
              <w:pStyle w:val="TableParagraph"/>
              <w:rPr>
                <w:bCs/>
              </w:rPr>
            </w:pPr>
          </w:p>
          <w:p w14:paraId="3D740347" w14:textId="77777777" w:rsidR="00735A98" w:rsidRDefault="00735A98" w:rsidP="00DC79FC">
            <w:pPr>
              <w:pStyle w:val="TableParagraph"/>
              <w:rPr>
                <w:bCs/>
              </w:rPr>
            </w:pPr>
          </w:p>
          <w:p w14:paraId="113B6B87" w14:textId="77777777" w:rsidR="00735A98" w:rsidRDefault="00735A98" w:rsidP="00DC79FC">
            <w:pPr>
              <w:pStyle w:val="TableParagraph"/>
              <w:rPr>
                <w:bCs/>
              </w:rPr>
            </w:pPr>
          </w:p>
          <w:p w14:paraId="16A65B3F" w14:textId="77777777" w:rsidR="00735A98" w:rsidRDefault="00735A98" w:rsidP="00DC79FC">
            <w:pPr>
              <w:pStyle w:val="TableParagraph"/>
              <w:rPr>
                <w:bCs/>
              </w:rPr>
            </w:pPr>
          </w:p>
          <w:p w14:paraId="3BE835D6" w14:textId="77777777" w:rsidR="00735A98" w:rsidRDefault="00735A98" w:rsidP="00DC79FC">
            <w:pPr>
              <w:pStyle w:val="TableParagraph"/>
              <w:rPr>
                <w:bCs/>
              </w:rPr>
            </w:pPr>
          </w:p>
          <w:p w14:paraId="2606019E" w14:textId="77777777" w:rsidR="00735A98" w:rsidRDefault="00735A98" w:rsidP="00DC79FC">
            <w:pPr>
              <w:pStyle w:val="TableParagraph"/>
              <w:rPr>
                <w:bCs/>
              </w:rPr>
            </w:pPr>
          </w:p>
          <w:p w14:paraId="4E4B4655" w14:textId="77777777" w:rsidR="00F61F09" w:rsidRDefault="00F61F09" w:rsidP="00DC79FC">
            <w:pPr>
              <w:pStyle w:val="TableParagraph"/>
              <w:rPr>
                <w:bCs/>
              </w:rPr>
            </w:pPr>
          </w:p>
          <w:p w14:paraId="17EB1E5D" w14:textId="49FBF6BA" w:rsidR="007A4050" w:rsidRPr="00FA4539" w:rsidRDefault="007A4050" w:rsidP="00DC79FC">
            <w:pPr>
              <w:spacing w:after="240"/>
              <w:rPr>
                <w:bCs/>
              </w:rPr>
            </w:pPr>
          </w:p>
        </w:tc>
        <w:tc>
          <w:tcPr>
            <w:tcW w:w="3401" w:type="dxa"/>
            <w:vAlign w:val="center"/>
          </w:tcPr>
          <w:p w14:paraId="23AE46AB" w14:textId="67D06864" w:rsidR="00FA4539" w:rsidRDefault="00FA4539" w:rsidP="00FA4539">
            <w:pPr>
              <w:pStyle w:val="TableParagraph"/>
              <w:rPr>
                <w:bCs/>
              </w:rPr>
            </w:pPr>
            <w:r>
              <w:t>Реализовано полностью: инструментарий разработан.</w:t>
            </w:r>
          </w:p>
          <w:p w14:paraId="687A70A1" w14:textId="61D8D3B3" w:rsidR="005328AD" w:rsidRDefault="00FA4539" w:rsidP="00FA4539">
            <w:pPr>
              <w:pStyle w:val="TableParagraph"/>
            </w:pPr>
            <w:r>
              <w:t xml:space="preserve">Предварительно опубликованные версии инструментария, ожидающие окончательного профессионального редактирования и оформления, доступны на специальной веб-странице по адресу </w:t>
            </w:r>
            <w:hyperlink r:id="rId21" w:history="1">
              <w:r>
                <w:rPr>
                  <w:rStyle w:val="Hyperlink"/>
                </w:rPr>
                <w:t>www.wipo.int/tisc/ru/inventions-public-domain.html</w:t>
              </w:r>
            </w:hyperlink>
            <w:r w:rsidRPr="00A20AD8">
              <w:t xml:space="preserve"> и в</w:t>
            </w:r>
            <w:r>
              <w:t xml:space="preserve"> Каталоге проектов и мероприятий в рамках ПДР по ссылке </w:t>
            </w:r>
            <w:hyperlink r:id="rId22" w:history="1">
              <w:r>
                <w:rPr>
                  <w:rStyle w:val="Hyperlink"/>
                </w:rPr>
                <w:t>dacatalogue.wipo.int/projects/DA_16_20_04</w:t>
              </w:r>
            </w:hyperlink>
            <w:r w:rsidR="00A20AD8" w:rsidRPr="00A20AD8">
              <w:t>.</w:t>
            </w:r>
          </w:p>
          <w:p w14:paraId="72B25BF5" w14:textId="77777777" w:rsidR="00735A98" w:rsidRDefault="00735A98" w:rsidP="00FA4539">
            <w:pPr>
              <w:pStyle w:val="TableParagraph"/>
            </w:pPr>
          </w:p>
          <w:p w14:paraId="684AAE70" w14:textId="0EF5C92D" w:rsidR="00735A98" w:rsidRPr="00735A98" w:rsidRDefault="00735A98" w:rsidP="00FA4539">
            <w:pPr>
              <w:pStyle w:val="TableParagraph"/>
            </w:pPr>
          </w:p>
        </w:tc>
        <w:tc>
          <w:tcPr>
            <w:tcW w:w="876" w:type="dxa"/>
            <w:vAlign w:val="center"/>
          </w:tcPr>
          <w:p w14:paraId="388D93C4" w14:textId="474B7D82" w:rsidR="00345C86" w:rsidRPr="00706D66" w:rsidRDefault="00FA4539" w:rsidP="00F3367C">
            <w:pPr>
              <w:pStyle w:val="TableParagraph"/>
            </w:pPr>
            <w:r>
              <w:t>****</w:t>
            </w:r>
          </w:p>
          <w:p w14:paraId="31DDDDCC" w14:textId="77777777" w:rsidR="00345C86" w:rsidRPr="00706D66" w:rsidRDefault="00345C86" w:rsidP="00F3367C">
            <w:pPr>
              <w:pStyle w:val="TableParagraph"/>
            </w:pPr>
          </w:p>
          <w:p w14:paraId="3A0646BB" w14:textId="77777777" w:rsidR="00735A98" w:rsidRPr="00706D66" w:rsidRDefault="00735A98" w:rsidP="00F3367C">
            <w:pPr>
              <w:pStyle w:val="TableParagraph"/>
            </w:pPr>
          </w:p>
        </w:tc>
      </w:tr>
      <w:tr w:rsidR="00DC79FC" w:rsidRPr="00706D66" w14:paraId="6956A0CB" w14:textId="77777777" w:rsidTr="00FA4539">
        <w:trPr>
          <w:trHeight w:val="1281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58CBF81B" w14:textId="0E381F78" w:rsidR="00DC79FC" w:rsidRDefault="00DC79FC" w:rsidP="00DC79FC">
            <w:pPr>
              <w:pStyle w:val="TableParagraph"/>
            </w:pPr>
            <w:r>
              <w:t>Предварительный результат 2: учебные материалы для ЦПТИ</w:t>
            </w:r>
          </w:p>
          <w:p w14:paraId="263F3320" w14:textId="77777777" w:rsidR="005328AD" w:rsidRPr="00706D66" w:rsidRDefault="005328AD" w:rsidP="00DC79FC">
            <w:pPr>
              <w:pStyle w:val="TableParagraph"/>
            </w:pPr>
          </w:p>
          <w:p w14:paraId="6495A2EB" w14:textId="77777777" w:rsidR="00DC79FC" w:rsidRPr="00706D66" w:rsidRDefault="00DC79FC" w:rsidP="00DC79FC">
            <w:pPr>
              <w:pStyle w:val="TableParagraph"/>
            </w:pPr>
          </w:p>
          <w:p w14:paraId="3715DBBA" w14:textId="77777777" w:rsidR="00DC79FC" w:rsidRPr="00706D66" w:rsidRDefault="00DC79FC" w:rsidP="00DC79FC">
            <w:pPr>
              <w:pStyle w:val="TableParagraph"/>
              <w:rPr>
                <w:bCs/>
              </w:rPr>
            </w:pPr>
          </w:p>
          <w:p w14:paraId="0F78D571" w14:textId="7A695CB1" w:rsidR="00DC79FC" w:rsidRPr="00706D66" w:rsidRDefault="00DC79FC" w:rsidP="00DC79FC">
            <w:pPr>
              <w:pStyle w:val="TableParagraph"/>
              <w:rPr>
                <w:bCs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BD5245" w14:textId="4C0CD2A1" w:rsidR="00DC79FC" w:rsidRDefault="00DC79FC" w:rsidP="00DC79FC">
            <w:pPr>
              <w:pStyle w:val="TableParagraph"/>
            </w:pPr>
            <w:r>
              <w:t>Учебные материалы для ЦПТИ разработаны.</w:t>
            </w:r>
          </w:p>
          <w:p w14:paraId="1B2B6B31" w14:textId="77777777" w:rsidR="005328AD" w:rsidRDefault="005328AD" w:rsidP="00DC79FC">
            <w:pPr>
              <w:pStyle w:val="TableParagraph"/>
            </w:pPr>
          </w:p>
          <w:p w14:paraId="477C8F90" w14:textId="77777777" w:rsidR="00F61F09" w:rsidRDefault="00F61F09" w:rsidP="00DC79FC">
            <w:pPr>
              <w:pStyle w:val="TableParagraph"/>
            </w:pPr>
          </w:p>
          <w:p w14:paraId="5D3EC4B2" w14:textId="77777777" w:rsidR="00F61F09" w:rsidRPr="00706D66" w:rsidRDefault="00F61F09" w:rsidP="00DC79FC">
            <w:pPr>
              <w:pStyle w:val="TableParagraph"/>
            </w:pPr>
          </w:p>
          <w:p w14:paraId="29A107CD" w14:textId="77777777" w:rsidR="00DC79FC" w:rsidRPr="00706D66" w:rsidRDefault="00DC79FC" w:rsidP="00F3367C"/>
        </w:tc>
        <w:tc>
          <w:tcPr>
            <w:tcW w:w="3401" w:type="dxa"/>
            <w:vAlign w:val="center"/>
          </w:tcPr>
          <w:p w14:paraId="14590AD3" w14:textId="4141A3DD" w:rsidR="00186149" w:rsidRDefault="00FA4539" w:rsidP="00F3367C">
            <w:pPr>
              <w:rPr>
                <w:bCs/>
              </w:rPr>
            </w:pPr>
            <w:r>
              <w:t>Реализовано полностью: учебные материалы разработаны.</w:t>
            </w:r>
          </w:p>
          <w:p w14:paraId="515469F4" w14:textId="17378980" w:rsidR="00DC79FC" w:rsidRDefault="00DC79FC" w:rsidP="00F3367C">
            <w:pPr>
              <w:rPr>
                <w:bCs/>
              </w:rPr>
            </w:pPr>
          </w:p>
          <w:p w14:paraId="54B15DD4" w14:textId="77777777" w:rsidR="00F61F09" w:rsidRDefault="00F61F09" w:rsidP="00F3367C">
            <w:pPr>
              <w:rPr>
                <w:bCs/>
              </w:rPr>
            </w:pPr>
          </w:p>
          <w:p w14:paraId="21B4FC58" w14:textId="2934C51B" w:rsidR="00F61F09" w:rsidRPr="00706D66" w:rsidRDefault="00F61F09" w:rsidP="00F3367C"/>
        </w:tc>
        <w:tc>
          <w:tcPr>
            <w:tcW w:w="876" w:type="dxa"/>
            <w:vAlign w:val="center"/>
          </w:tcPr>
          <w:p w14:paraId="374190A3" w14:textId="361AC69C" w:rsidR="00DC79FC" w:rsidRPr="00706D66" w:rsidRDefault="00FA4539" w:rsidP="00F3367C">
            <w:pPr>
              <w:pStyle w:val="TableParagraph"/>
            </w:pPr>
            <w:r>
              <w:t>****</w:t>
            </w:r>
          </w:p>
        </w:tc>
      </w:tr>
      <w:tr w:rsidR="00DC79FC" w:rsidRPr="00706D66" w14:paraId="2A8EFB4F" w14:textId="77777777" w:rsidTr="00FA4539">
        <w:trPr>
          <w:trHeight w:val="1281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3B10BB87" w14:textId="1A1BEB54" w:rsidR="00DC79FC" w:rsidRDefault="00DC79FC" w:rsidP="00DC79FC">
            <w:pPr>
              <w:pStyle w:val="TableParagraph"/>
            </w:pPr>
            <w:r>
              <w:t>Предварительный результат 3: учебно-практические семинары с использованием новых учебных материалов</w:t>
            </w:r>
          </w:p>
          <w:p w14:paraId="4B2C2FD6" w14:textId="77777777" w:rsidR="005328AD" w:rsidRDefault="005328AD" w:rsidP="00DC79FC">
            <w:pPr>
              <w:pStyle w:val="TableParagraph"/>
            </w:pPr>
          </w:p>
          <w:p w14:paraId="592DBDA6" w14:textId="77777777" w:rsidR="005328AD" w:rsidRDefault="005328AD" w:rsidP="00DC79FC">
            <w:pPr>
              <w:pStyle w:val="TableParagraph"/>
            </w:pPr>
          </w:p>
          <w:p w14:paraId="5CC16087" w14:textId="77777777" w:rsidR="005328AD" w:rsidRDefault="005328AD" w:rsidP="00DC79FC">
            <w:pPr>
              <w:pStyle w:val="TableParagraph"/>
            </w:pPr>
          </w:p>
          <w:p w14:paraId="1899FFDC" w14:textId="77777777" w:rsidR="005328AD" w:rsidRDefault="005328AD" w:rsidP="00DC79FC">
            <w:pPr>
              <w:pStyle w:val="TableParagraph"/>
            </w:pPr>
          </w:p>
          <w:p w14:paraId="07D0DEBF" w14:textId="77777777" w:rsidR="005328AD" w:rsidRDefault="005328AD" w:rsidP="00DC79FC">
            <w:pPr>
              <w:pStyle w:val="TableParagraph"/>
            </w:pPr>
          </w:p>
          <w:p w14:paraId="138BF01C" w14:textId="77777777" w:rsidR="005328AD" w:rsidRPr="00706D66" w:rsidRDefault="005328AD" w:rsidP="00DC79FC">
            <w:pPr>
              <w:pStyle w:val="TableParagraph"/>
            </w:pPr>
          </w:p>
          <w:p w14:paraId="0F3CDB3A" w14:textId="2CB2F951" w:rsidR="00DC79FC" w:rsidRPr="00706D66" w:rsidRDefault="00DC79FC" w:rsidP="00DC79FC">
            <w:pPr>
              <w:pStyle w:val="TableParagraph"/>
            </w:pPr>
          </w:p>
          <w:p w14:paraId="69136992" w14:textId="28C5FB61" w:rsidR="00DC79FC" w:rsidRPr="00706D66" w:rsidRDefault="00DC79FC" w:rsidP="00DC79FC">
            <w:pPr>
              <w:pStyle w:val="TableParagraph"/>
            </w:pPr>
          </w:p>
          <w:p w14:paraId="4E497CF2" w14:textId="744B3F68" w:rsidR="00DC79FC" w:rsidRPr="00706D66" w:rsidRDefault="00DC79FC" w:rsidP="00DC79FC">
            <w:pPr>
              <w:pStyle w:val="TableParagraph"/>
            </w:pPr>
          </w:p>
          <w:p w14:paraId="05CC5D6A" w14:textId="0C285CE4" w:rsidR="00DC79FC" w:rsidRPr="00706D66" w:rsidRDefault="00DC79FC" w:rsidP="00DC79FC">
            <w:pPr>
              <w:pStyle w:val="TableParagraph"/>
            </w:pPr>
          </w:p>
          <w:p w14:paraId="03803ED8" w14:textId="69F797CB" w:rsidR="00DC79FC" w:rsidRPr="00706D66" w:rsidRDefault="00DC79FC" w:rsidP="00DC79FC">
            <w:pPr>
              <w:pStyle w:val="TableParagraph"/>
            </w:pPr>
          </w:p>
          <w:p w14:paraId="5A8730D8" w14:textId="77777777" w:rsidR="00DC79FC" w:rsidRPr="00706D66" w:rsidRDefault="00DC79FC" w:rsidP="00DC79FC">
            <w:pPr>
              <w:pStyle w:val="TableParagraph"/>
            </w:pPr>
          </w:p>
          <w:p w14:paraId="71F8E02D" w14:textId="0BF6F354" w:rsidR="00DC79FC" w:rsidRPr="00706D66" w:rsidRDefault="00DC79FC" w:rsidP="00DC79FC">
            <w:pPr>
              <w:pStyle w:val="TableParagraph"/>
              <w:rPr>
                <w:bCs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792A4E" w14:textId="77777777" w:rsidR="00DC79FC" w:rsidRPr="00706D66" w:rsidRDefault="00DC79FC" w:rsidP="00DC79FC">
            <w:pPr>
              <w:pStyle w:val="TableParagraph"/>
            </w:pPr>
            <w:r>
              <w:t xml:space="preserve">Проведено два семинара.  </w:t>
            </w:r>
          </w:p>
          <w:p w14:paraId="4A58B9E4" w14:textId="77777777" w:rsidR="00DC79FC" w:rsidRPr="00706D66" w:rsidRDefault="00DC79FC" w:rsidP="00DC79FC">
            <w:pPr>
              <w:pStyle w:val="TableParagraph"/>
            </w:pPr>
          </w:p>
          <w:p w14:paraId="48E04B93" w14:textId="2829ACD9" w:rsidR="00DC79FC" w:rsidRDefault="00DC79FC" w:rsidP="00DC79FC">
            <w:pPr>
              <w:pStyle w:val="TableParagraph"/>
            </w:pPr>
            <w:r>
              <w:t>Определенный процент участников, сообщающих, что благодаря обучению улучшились их знания и навыки, необходимые для использования изобретений, находящихся в сфере общественного достояния (целевой показатель: 70 %).</w:t>
            </w:r>
          </w:p>
          <w:p w14:paraId="29F1E304" w14:textId="77777777" w:rsidR="005328AD" w:rsidRDefault="005328AD" w:rsidP="00DC79FC">
            <w:pPr>
              <w:pStyle w:val="TableParagraph"/>
            </w:pPr>
          </w:p>
          <w:p w14:paraId="4A9B3E71" w14:textId="77777777" w:rsidR="005328AD" w:rsidRDefault="005328AD" w:rsidP="00DC79FC">
            <w:pPr>
              <w:pStyle w:val="TableParagraph"/>
            </w:pPr>
          </w:p>
          <w:p w14:paraId="52351FB1" w14:textId="77777777" w:rsidR="005328AD" w:rsidRDefault="005328AD" w:rsidP="00DC79FC">
            <w:pPr>
              <w:pStyle w:val="TableParagraph"/>
            </w:pPr>
          </w:p>
          <w:p w14:paraId="34E7F15F" w14:textId="77777777" w:rsidR="005328AD" w:rsidRDefault="005328AD" w:rsidP="00DC79FC">
            <w:pPr>
              <w:pStyle w:val="TableParagraph"/>
            </w:pPr>
          </w:p>
          <w:p w14:paraId="0F38C5A1" w14:textId="77777777" w:rsidR="005328AD" w:rsidRDefault="005328AD" w:rsidP="00DC79FC">
            <w:pPr>
              <w:pStyle w:val="TableParagraph"/>
            </w:pPr>
          </w:p>
          <w:p w14:paraId="48131BF4" w14:textId="77777777" w:rsidR="005328AD" w:rsidRPr="00706D66" w:rsidRDefault="005328AD" w:rsidP="00DC79FC">
            <w:pPr>
              <w:pStyle w:val="TableParagraph"/>
            </w:pPr>
          </w:p>
          <w:p w14:paraId="73BD10FC" w14:textId="77777777" w:rsidR="00DC79FC" w:rsidRPr="00706D66" w:rsidRDefault="00DC79FC" w:rsidP="00F3367C"/>
        </w:tc>
        <w:tc>
          <w:tcPr>
            <w:tcW w:w="3401" w:type="dxa"/>
            <w:vAlign w:val="center"/>
          </w:tcPr>
          <w:p w14:paraId="7C7AEE9E" w14:textId="3C1FB9DA" w:rsidR="00DC79FC" w:rsidRDefault="00FA4539" w:rsidP="00F3367C">
            <w:pPr>
              <w:rPr>
                <w:bCs/>
              </w:rPr>
            </w:pPr>
            <w:r>
              <w:t xml:space="preserve">Реализовано полностью: онлайн-семинары, проведенные для сетей ЦПТИ Малайзии и Филиппин. </w:t>
            </w:r>
          </w:p>
          <w:p w14:paraId="77769ADD" w14:textId="77777777" w:rsidR="008C0109" w:rsidRDefault="008C0109" w:rsidP="00F3367C">
            <w:pPr>
              <w:rPr>
                <w:bCs/>
              </w:rPr>
            </w:pPr>
          </w:p>
          <w:p w14:paraId="37419074" w14:textId="6D5E06B2" w:rsidR="00300731" w:rsidRPr="002A5480" w:rsidRDefault="001D7427" w:rsidP="0098781F">
            <w:pPr>
              <w:rPr>
                <w:bCs/>
              </w:rPr>
            </w:pPr>
            <w:r>
              <w:t>В обучении принял участие 31 сотрудник ЦПТИ (16 из Филиппин и 15 из Малайзии).  Сто процентов респондентов, прошедших итоговое обследование, отметили, что обучение было крайне успешным или в некоторой степени успешным с точки зрения улучшения их знаний и навыков в данной области, и что полученные знания и навыки будут крайне полезны (71 % респондентов) или в некоторой степени полезны.</w:t>
            </w:r>
          </w:p>
        </w:tc>
        <w:tc>
          <w:tcPr>
            <w:tcW w:w="876" w:type="dxa"/>
            <w:vAlign w:val="center"/>
          </w:tcPr>
          <w:p w14:paraId="694F842F" w14:textId="3C42151B" w:rsidR="00DC79FC" w:rsidRPr="00706D66" w:rsidRDefault="00FA4539" w:rsidP="00F3367C">
            <w:pPr>
              <w:pStyle w:val="TableParagraph"/>
            </w:pPr>
            <w:r>
              <w:t>****</w:t>
            </w:r>
          </w:p>
        </w:tc>
      </w:tr>
    </w:tbl>
    <w:p w14:paraId="600747CF" w14:textId="4AF94B88" w:rsidR="00E12E01" w:rsidRPr="00706D66" w:rsidRDefault="00E12E01" w:rsidP="005635C7">
      <w:pPr>
        <w:pStyle w:val="Endofdocument-Annex"/>
        <w:spacing w:before="720"/>
        <w:ind w:left="5530"/>
      </w:pPr>
      <w:r>
        <w:t>[Приложение II следует]</w:t>
      </w:r>
      <w:r>
        <w:br w:type="page"/>
      </w:r>
    </w:p>
    <w:p w14:paraId="5FCF4A24" w14:textId="77777777" w:rsidR="00E12E01" w:rsidRPr="00706D66" w:rsidRDefault="00E12E01" w:rsidP="00566FA6">
      <w:pPr>
        <w:pStyle w:val="Endofdocument-Annex"/>
        <w:spacing w:before="720"/>
        <w:ind w:left="0"/>
        <w:sectPr w:rsidR="00E12E01" w:rsidRPr="00706D66" w:rsidSect="00A820D6">
          <w:headerReference w:type="first" r:id="rId23"/>
          <w:pgSz w:w="11907" w:h="16840" w:code="9"/>
          <w:pgMar w:top="540" w:right="1417" w:bottom="1417" w:left="1417" w:header="504" w:footer="1022" w:gutter="0"/>
          <w:pgNumType w:start="1"/>
          <w:cols w:space="720"/>
          <w:titlePg/>
          <w:docGrid w:linePitch="299"/>
        </w:sect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4942"/>
        <w:gridCol w:w="1890"/>
        <w:gridCol w:w="1323"/>
        <w:gridCol w:w="1900"/>
      </w:tblGrid>
      <w:tr w:rsidR="00E12E01" w:rsidRPr="00706D66" w14:paraId="2647A95E" w14:textId="77777777" w:rsidTr="00E12E01">
        <w:trPr>
          <w:trHeight w:val="24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6FF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2E8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7F96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4E5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2E01" w:rsidRPr="00706D66" w14:paraId="32C5E5D8" w14:textId="77777777" w:rsidTr="00E12E01">
        <w:trPr>
          <w:trHeight w:val="24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575E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7D6D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94FD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984E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2E01" w:rsidRPr="00706D66" w14:paraId="7D1FE660" w14:textId="77777777" w:rsidTr="00E12E01">
        <w:trPr>
          <w:trHeight w:val="677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5DFD" w14:textId="1690B934" w:rsidR="00A15025" w:rsidRPr="00706D66" w:rsidRDefault="00F44832" w:rsidP="00A15025">
            <w:pPr>
              <w:rPr>
                <w:rFonts w:ascii="Arial Narrow" w:hAnsi="Arial Narrow"/>
                <w:b/>
                <w:bCs/>
                <w:color w:val="00283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2839"/>
                <w:sz w:val="28"/>
              </w:rPr>
              <w:t>Проект ПДР «Выявление и использование изобретений, находящихся в сфере общественного достояния»</w:t>
            </w:r>
          </w:p>
          <w:p w14:paraId="26393E83" w14:textId="370216FA" w:rsidR="00E12E01" w:rsidRPr="00706D66" w:rsidRDefault="00E12E01" w:rsidP="00746685">
            <w:pPr>
              <w:rPr>
                <w:rFonts w:ascii="Arial Narrow" w:hAnsi="Arial Narrow"/>
                <w:b/>
                <w:bCs/>
                <w:color w:val="002839"/>
                <w:sz w:val="28"/>
                <w:szCs w:val="28"/>
              </w:rPr>
            </w:pPr>
          </w:p>
        </w:tc>
      </w:tr>
      <w:tr w:rsidR="00E12E01" w:rsidRPr="00706D66" w14:paraId="06E606E6" w14:textId="77777777" w:rsidTr="00E12E01">
        <w:trPr>
          <w:trHeight w:val="220"/>
        </w:trPr>
        <w:tc>
          <w:tcPr>
            <w:tcW w:w="4942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4BD5F952" w14:textId="77777777" w:rsidR="00E12E01" w:rsidRPr="00706D66" w:rsidRDefault="00E12E01" w:rsidP="003721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6ACA8FC9" w14:textId="77777777" w:rsidR="00E12E01" w:rsidRPr="00706D66" w:rsidRDefault="00E12E01" w:rsidP="003721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77FAF96B" w14:textId="77777777" w:rsidR="00E12E01" w:rsidRPr="00706D66" w:rsidRDefault="00E12E01" w:rsidP="003721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723F712F" w14:textId="77777777" w:rsidR="00E12E01" w:rsidRPr="00706D66" w:rsidRDefault="00E12E01" w:rsidP="0037217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E12E01" w:rsidRPr="00706D66" w14:paraId="2B6AC7D0" w14:textId="77777777" w:rsidTr="00E12E01">
        <w:trPr>
          <w:trHeight w:val="273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B8B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0DC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7D7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443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2E01" w:rsidRPr="00706D66" w14:paraId="67209685" w14:textId="77777777" w:rsidTr="00E12E01">
        <w:trPr>
          <w:trHeight w:val="331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4D41" w14:textId="0820FFF7" w:rsidR="00E12E01" w:rsidRPr="00706D66" w:rsidRDefault="00E12E01" w:rsidP="0037217B">
            <w:pPr>
              <w:jc w:val="center"/>
              <w:rPr>
                <w:rFonts w:ascii="Arial Narrow" w:hAnsi="Arial Narrow"/>
                <w:b/>
                <w:bCs/>
                <w:color w:val="002839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839"/>
                <w:sz w:val="24"/>
              </w:rPr>
              <w:t>Освоение ресурсов по состоянию на конец декабря 2023 года</w:t>
            </w:r>
          </w:p>
        </w:tc>
      </w:tr>
      <w:tr w:rsidR="00E12E01" w:rsidRPr="00706D66" w14:paraId="47DF1D18" w14:textId="77777777" w:rsidTr="00E12E01">
        <w:trPr>
          <w:trHeight w:val="331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956" w14:textId="77777777" w:rsidR="00E12E01" w:rsidRPr="00706D66" w:rsidRDefault="00E12E01" w:rsidP="0037217B">
            <w:pPr>
              <w:jc w:val="center"/>
              <w:rPr>
                <w:rFonts w:ascii="Arial Narrow" w:hAnsi="Arial Narrow"/>
                <w:i/>
                <w:iCs/>
                <w:color w:val="002839"/>
                <w:sz w:val="20"/>
              </w:rPr>
            </w:pPr>
            <w:r>
              <w:rPr>
                <w:rFonts w:ascii="Arial Narrow" w:hAnsi="Arial Narrow"/>
                <w:i/>
                <w:color w:val="002839"/>
                <w:sz w:val="20"/>
              </w:rPr>
              <w:t>‏(в шв. франках)</w:t>
            </w:r>
          </w:p>
        </w:tc>
      </w:tr>
      <w:tr w:rsidR="00E12E01" w:rsidRPr="00706D66" w14:paraId="6A2589B1" w14:textId="77777777" w:rsidTr="00E12E01">
        <w:trPr>
          <w:trHeight w:val="34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E4A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E4B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BD1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3016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2E01" w:rsidRPr="00706D66" w14:paraId="573FC05A" w14:textId="77777777" w:rsidTr="00E12E01">
        <w:trPr>
          <w:trHeight w:val="61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noWrap/>
            <w:vAlign w:val="center"/>
            <w:hideMark/>
          </w:tcPr>
          <w:p w14:paraId="3D203301" w14:textId="77777777" w:rsidR="00E12E01" w:rsidRPr="00706D66" w:rsidRDefault="00E12E01" w:rsidP="0037217B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Категория расходов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17516FD4" w14:textId="77777777" w:rsidR="00E12E01" w:rsidRPr="00706D66" w:rsidRDefault="00E12E01" w:rsidP="0037217B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Бюджет проекта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2A3BCFEA" w14:textId="032B6EA6" w:rsidR="00E12E01" w:rsidRPr="00706D66" w:rsidRDefault="00E12E01" w:rsidP="0037217B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53A40AD0" w14:textId="7F45EFBF" w:rsidR="00E12E01" w:rsidRPr="00706D66" w:rsidRDefault="00785B36" w:rsidP="0037217B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 xml:space="preserve">   Освоение бюджета</w:t>
            </w:r>
          </w:p>
        </w:tc>
      </w:tr>
      <w:tr w:rsidR="00E12E01" w:rsidRPr="00706D66" w14:paraId="7E409B34" w14:textId="77777777" w:rsidTr="00E12E01">
        <w:trPr>
          <w:trHeight w:val="547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2106" w14:textId="77777777" w:rsidR="00E12E01" w:rsidRPr="00706D66" w:rsidRDefault="00E12E01" w:rsidP="0037217B">
            <w:pPr>
              <w:rPr>
                <w:rFonts w:ascii="Arial Narrow" w:hAnsi="Arial Narrow"/>
                <w:color w:val="002839"/>
              </w:rPr>
            </w:pPr>
            <w:r>
              <w:rPr>
                <w:rFonts w:ascii="Arial Narrow" w:hAnsi="Arial Narrow"/>
                <w:color w:val="002839"/>
              </w:rPr>
              <w:t>Расходы, связанные с персоналом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556" w14:textId="0442FCC1" w:rsidR="00E12E01" w:rsidRPr="00706D66" w:rsidRDefault="00051803" w:rsidP="0037217B">
            <w:pPr>
              <w:rPr>
                <w:rFonts w:ascii="Arial Narrow" w:hAnsi="Arial Narrow"/>
                <w:color w:val="002839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D4C22" w14:textId="77777777" w:rsidR="00E12E01" w:rsidRPr="00706D66" w:rsidRDefault="00E12E01" w:rsidP="003721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90A9" w14:textId="77777777" w:rsidR="00E12E01" w:rsidRPr="00706D66" w:rsidRDefault="00E12E01" w:rsidP="0037217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0 %</w:t>
            </w:r>
          </w:p>
        </w:tc>
      </w:tr>
      <w:tr w:rsidR="00E12E01" w:rsidRPr="00706D66" w14:paraId="1C36E047" w14:textId="77777777" w:rsidTr="00E12E01">
        <w:trPr>
          <w:trHeight w:val="47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04BE" w14:textId="77777777" w:rsidR="00E12E01" w:rsidRPr="00706D66" w:rsidRDefault="00E12E01" w:rsidP="0037217B">
            <w:pPr>
              <w:rPr>
                <w:rFonts w:ascii="Arial Narrow" w:hAnsi="Arial Narrow"/>
                <w:color w:val="002839"/>
              </w:rPr>
            </w:pPr>
            <w:r>
              <w:rPr>
                <w:rFonts w:ascii="Arial Narrow" w:hAnsi="Arial Narrow"/>
                <w:color w:val="002839"/>
              </w:rPr>
              <w:t>Расходы, не связанные с персоналом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A165" w14:textId="10510FEE" w:rsidR="00E12E01" w:rsidRPr="00706D66" w:rsidRDefault="00E12E01" w:rsidP="0037217B">
            <w:pPr>
              <w:rPr>
                <w:rFonts w:ascii="Arial Narrow" w:hAnsi="Arial Narrow"/>
                <w:color w:val="002839"/>
              </w:rPr>
            </w:pPr>
            <w:r>
              <w:rPr>
                <w:rFonts w:ascii="Arial Narrow" w:hAnsi="Arial Narrow"/>
                <w:color w:val="002839"/>
              </w:rPr>
              <w:t xml:space="preserve">          80 000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9E9E" w14:textId="25D5B3B3" w:rsidR="00945DF1" w:rsidRPr="00706D66" w:rsidRDefault="00E12E01" w:rsidP="003721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</w:t>
            </w:r>
            <w:r>
              <w:rPr>
                <w:rFonts w:ascii="Arial Narrow" w:hAnsi="Arial Narrow"/>
                <w:color w:val="002839"/>
              </w:rPr>
              <w:t>78 782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C947" w14:textId="53AE2C99" w:rsidR="00E12E01" w:rsidRPr="00706D66" w:rsidRDefault="00D65C1F" w:rsidP="0037217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98 %</w:t>
            </w:r>
          </w:p>
          <w:p w14:paraId="42BB0836" w14:textId="0BDF0A5C" w:rsidR="00945DF1" w:rsidRPr="00706D66" w:rsidRDefault="00945DF1" w:rsidP="0037217B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12E01" w:rsidRPr="00D65C1F" w14:paraId="04DCE1FB" w14:textId="77777777" w:rsidTr="00E12E01">
        <w:trPr>
          <w:trHeight w:val="403"/>
        </w:trPr>
        <w:tc>
          <w:tcPr>
            <w:tcW w:w="4942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0046C369" w14:textId="77777777" w:rsidR="00E12E01" w:rsidRPr="00706D66" w:rsidRDefault="00E12E01" w:rsidP="0037217B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35C34ECA" w14:textId="05849796" w:rsidR="00E12E01" w:rsidRPr="00706D66" w:rsidRDefault="00E12E01" w:rsidP="0037217B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 xml:space="preserve">          80 000</w:t>
            </w:r>
          </w:p>
        </w:tc>
        <w:tc>
          <w:tcPr>
            <w:tcW w:w="1323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20B26557" w14:textId="4CB7C09A" w:rsidR="00945DF1" w:rsidRPr="00706D66" w:rsidRDefault="00E12E01" w:rsidP="0037217B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 xml:space="preserve">           78 782</w:t>
            </w:r>
          </w:p>
        </w:tc>
        <w:tc>
          <w:tcPr>
            <w:tcW w:w="1900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60C1AA06" w14:textId="7B102F54" w:rsidR="00E12E01" w:rsidRPr="00D65C1F" w:rsidRDefault="00D65C1F" w:rsidP="0037217B">
            <w:pPr>
              <w:jc w:val="right"/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98 %</w:t>
            </w:r>
          </w:p>
          <w:p w14:paraId="76E6872E" w14:textId="36F4A573" w:rsidR="00945DF1" w:rsidRPr="00D65C1F" w:rsidRDefault="00945DF1" w:rsidP="0037217B">
            <w:pPr>
              <w:jc w:val="right"/>
              <w:rPr>
                <w:rFonts w:ascii="Arial Narrow" w:hAnsi="Arial Narrow"/>
                <w:b/>
                <w:bCs/>
                <w:color w:val="002839"/>
              </w:rPr>
            </w:pPr>
          </w:p>
        </w:tc>
      </w:tr>
      <w:tr w:rsidR="00F40A95" w:rsidRPr="00706D66" w14:paraId="7479F125" w14:textId="77777777" w:rsidTr="00D64AF6">
        <w:trPr>
          <w:trHeight w:val="278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F4F" w14:textId="378D416C" w:rsidR="00F40A95" w:rsidRPr="00706D66" w:rsidRDefault="00F40A95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2E01" w:rsidRPr="00706D66" w14:paraId="5E7D7DA6" w14:textId="77777777" w:rsidTr="00E12E01">
        <w:trPr>
          <w:trHeight w:val="24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022B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EA7C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019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0C0A" w14:textId="77777777" w:rsidR="00E12E01" w:rsidRPr="00706D6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43CD93" w14:textId="2E0FEA33" w:rsidR="00E12E01" w:rsidRPr="00706D66" w:rsidRDefault="00E12E01" w:rsidP="00E12E01">
      <w:pPr>
        <w:pStyle w:val="Endofdocument-Annex"/>
        <w:spacing w:before="720"/>
        <w:ind w:left="5530"/>
      </w:pPr>
      <w:r>
        <w:t>[Конец приложения II и документа]</w:t>
      </w:r>
    </w:p>
    <w:p w14:paraId="4D56C7FA" w14:textId="77777777" w:rsidR="00E12E01" w:rsidRPr="00706D66" w:rsidRDefault="00E12E01" w:rsidP="00F3367C"/>
    <w:sectPr w:rsidR="00E12E01" w:rsidRPr="00706D66" w:rsidSect="00746685">
      <w:headerReference w:type="first" r:id="rId24"/>
      <w:pgSz w:w="16840" w:h="11907" w:orient="landscape" w:code="9"/>
      <w:pgMar w:top="1417" w:right="540" w:bottom="1417" w:left="1417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2A38" w14:textId="77777777" w:rsidR="00FB4209" w:rsidRDefault="00FB4209" w:rsidP="00F44760">
      <w:r>
        <w:separator/>
      </w:r>
    </w:p>
  </w:endnote>
  <w:endnote w:type="continuationSeparator" w:id="0">
    <w:p w14:paraId="12B02E06" w14:textId="77777777" w:rsidR="00FB4209" w:rsidRDefault="00FB4209" w:rsidP="00F4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A319" w14:textId="77777777" w:rsidR="00901C90" w:rsidRDefault="00901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742F" w14:textId="77777777" w:rsidR="00901C90" w:rsidRDefault="00901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2A83" w14:textId="77777777" w:rsidR="00901C90" w:rsidRDefault="00901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B37E" w14:textId="77777777" w:rsidR="00FB4209" w:rsidRDefault="00FB4209" w:rsidP="00F44760">
      <w:r>
        <w:separator/>
      </w:r>
    </w:p>
  </w:footnote>
  <w:footnote w:type="continuationSeparator" w:id="0">
    <w:p w14:paraId="7152AB47" w14:textId="77777777" w:rsidR="00FB4209" w:rsidRDefault="00FB4209" w:rsidP="00F44760">
      <w:r>
        <w:continuationSeparator/>
      </w:r>
    </w:p>
  </w:footnote>
  <w:footnote w:id="1">
    <w:p w14:paraId="42A8D677" w14:textId="1F0C8911" w:rsidR="00C02477" w:rsidRDefault="00C02477">
      <w:pPr>
        <w:pStyle w:val="FootnoteText"/>
      </w:pPr>
      <w:r>
        <w:rPr>
          <w:rStyle w:val="FootnoteReference"/>
        </w:rPr>
        <w:footnoteRef/>
      </w:r>
      <w:r>
        <w:t xml:space="preserve"> В обучении принял участие 31 сотрудник ЦПТИ (16 из Филиппин и 15 из Малайзии).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86E1" w14:textId="77777777" w:rsidR="00901C90" w:rsidRDefault="00901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587F" w14:textId="77777777" w:rsidR="00A20AD8" w:rsidRPr="002326AB" w:rsidRDefault="00A20AD8" w:rsidP="00A20AD8">
    <w:pPr>
      <w:jc w:val="right"/>
      <w:rPr>
        <w:caps/>
      </w:rPr>
    </w:pPr>
    <w:r>
      <w:rPr>
        <w:caps/>
      </w:rPr>
      <w:t>CDIP/32/5</w:t>
    </w:r>
  </w:p>
  <w:p w14:paraId="3920C4C6" w14:textId="0BDFDEEC" w:rsidR="00A20AD8" w:rsidRDefault="00A20AD8" w:rsidP="00A20AD8">
    <w:pPr>
      <w:jc w:val="right"/>
    </w:pPr>
    <w:r>
      <w:t xml:space="preserve">Приложение I, стр.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1C621347" w14:textId="77777777" w:rsidR="00A20AD8" w:rsidRDefault="00A20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3DB0" w14:textId="77777777" w:rsidR="00901C90" w:rsidRDefault="00901C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58DA" w14:textId="7803B390" w:rsidR="00A820D6" w:rsidRDefault="00A820D6" w:rsidP="00A820D6">
    <w:pPr>
      <w:pStyle w:val="Header"/>
      <w:jc w:val="right"/>
    </w:pPr>
    <w:r>
      <w:t>CDIP/32/5</w:t>
    </w:r>
  </w:p>
  <w:p w14:paraId="04775AA5" w14:textId="5B027D74" w:rsidR="00A820D6" w:rsidRDefault="00A820D6" w:rsidP="00A820D6">
    <w:pPr>
      <w:pStyle w:val="Header"/>
      <w:jc w:val="right"/>
    </w:pPr>
    <w:r>
      <w:t>ПРИЛОЖЕНИЕ I</w:t>
    </w:r>
  </w:p>
  <w:p w14:paraId="71DD2F4D" w14:textId="77777777" w:rsidR="00A820D6" w:rsidRDefault="00A820D6">
    <w:pPr>
      <w:pStyle w:val="Header"/>
    </w:pPr>
  </w:p>
  <w:p w14:paraId="4D6C8220" w14:textId="77777777" w:rsidR="00A820D6" w:rsidRDefault="00A820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3D5E" w14:textId="2586164C" w:rsidR="00746685" w:rsidRDefault="00746685" w:rsidP="00A820D6">
    <w:pPr>
      <w:pStyle w:val="Header"/>
      <w:jc w:val="right"/>
    </w:pPr>
    <w:r>
      <w:t>CDIP/32/5</w:t>
    </w:r>
  </w:p>
  <w:p w14:paraId="4E99F579" w14:textId="77777777" w:rsidR="00746685" w:rsidRDefault="00746685" w:rsidP="00A820D6">
    <w:pPr>
      <w:pStyle w:val="Header"/>
      <w:jc w:val="right"/>
    </w:pPr>
    <w:r>
      <w:t>ПРИЛОЖЕНИЕ II</w:t>
    </w:r>
  </w:p>
  <w:p w14:paraId="036AF0E3" w14:textId="77777777" w:rsidR="00746685" w:rsidRDefault="00746685">
    <w:pPr>
      <w:pStyle w:val="Header"/>
    </w:pPr>
  </w:p>
  <w:p w14:paraId="38A7E458" w14:textId="77777777" w:rsidR="00746685" w:rsidRDefault="00746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354F67"/>
    <w:multiLevelType w:val="hybridMultilevel"/>
    <w:tmpl w:val="E53859D6"/>
    <w:lvl w:ilvl="0" w:tplc="149CF642">
      <w:numFmt w:val="bullet"/>
      <w:lvlText w:val=""/>
      <w:lvlJc w:val="left"/>
      <w:pPr>
        <w:ind w:left="44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0AD40956"/>
    <w:multiLevelType w:val="hybridMultilevel"/>
    <w:tmpl w:val="AC5CCCE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A17A1C"/>
    <w:multiLevelType w:val="hybridMultilevel"/>
    <w:tmpl w:val="CDFCBC26"/>
    <w:lvl w:ilvl="0" w:tplc="F014CD62">
      <w:start w:val="4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6" w15:restartNumberingAfterBreak="0">
    <w:nsid w:val="24854E0C"/>
    <w:multiLevelType w:val="hybridMultilevel"/>
    <w:tmpl w:val="BB56465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26584058"/>
    <w:multiLevelType w:val="hybridMultilevel"/>
    <w:tmpl w:val="ED56BFEE"/>
    <w:lvl w:ilvl="0" w:tplc="71CACB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2A3914A2"/>
    <w:multiLevelType w:val="hybridMultilevel"/>
    <w:tmpl w:val="94DE9D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957A06"/>
    <w:multiLevelType w:val="hybridMultilevel"/>
    <w:tmpl w:val="C9C65F10"/>
    <w:lvl w:ilvl="0" w:tplc="59268DAE">
      <w:start w:val="3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0" w15:restartNumberingAfterBreak="0">
    <w:nsid w:val="360F13A3"/>
    <w:multiLevelType w:val="hybridMultilevel"/>
    <w:tmpl w:val="9232F26A"/>
    <w:lvl w:ilvl="0" w:tplc="9370A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86F8B"/>
    <w:multiLevelType w:val="hybridMultilevel"/>
    <w:tmpl w:val="E87213C4"/>
    <w:lvl w:ilvl="0" w:tplc="59268DA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22F3"/>
    <w:multiLevelType w:val="hybridMultilevel"/>
    <w:tmpl w:val="120A763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7E6728"/>
    <w:multiLevelType w:val="hybridMultilevel"/>
    <w:tmpl w:val="B81CAB7A"/>
    <w:lvl w:ilvl="0" w:tplc="F4562110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EE04E4C"/>
    <w:multiLevelType w:val="hybridMultilevel"/>
    <w:tmpl w:val="13D060C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CFD4D71"/>
    <w:multiLevelType w:val="hybridMultilevel"/>
    <w:tmpl w:val="49AC9F1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378631529">
    <w:abstractNumId w:val="4"/>
  </w:num>
  <w:num w:numId="2" w16cid:durableId="1855730134">
    <w:abstractNumId w:val="13"/>
  </w:num>
  <w:num w:numId="3" w16cid:durableId="1560941827">
    <w:abstractNumId w:val="18"/>
  </w:num>
  <w:num w:numId="4" w16cid:durableId="531773628">
    <w:abstractNumId w:val="16"/>
  </w:num>
  <w:num w:numId="5" w16cid:durableId="939918361">
    <w:abstractNumId w:val="0"/>
  </w:num>
  <w:num w:numId="6" w16cid:durableId="444811777">
    <w:abstractNumId w:val="15"/>
  </w:num>
  <w:num w:numId="7" w16cid:durableId="1520655183">
    <w:abstractNumId w:val="9"/>
  </w:num>
  <w:num w:numId="8" w16cid:durableId="335234939">
    <w:abstractNumId w:val="5"/>
  </w:num>
  <w:num w:numId="9" w16cid:durableId="544950848">
    <w:abstractNumId w:val="11"/>
  </w:num>
  <w:num w:numId="10" w16cid:durableId="52312925">
    <w:abstractNumId w:val="14"/>
  </w:num>
  <w:num w:numId="11" w16cid:durableId="379284867">
    <w:abstractNumId w:val="1"/>
  </w:num>
  <w:num w:numId="12" w16cid:durableId="1082870078">
    <w:abstractNumId w:val="3"/>
  </w:num>
  <w:num w:numId="13" w16cid:durableId="381945172">
    <w:abstractNumId w:val="2"/>
  </w:num>
  <w:num w:numId="14" w16cid:durableId="884100987">
    <w:abstractNumId w:val="17"/>
  </w:num>
  <w:num w:numId="15" w16cid:durableId="983049678">
    <w:abstractNumId w:val="19"/>
  </w:num>
  <w:num w:numId="16" w16cid:durableId="214438375">
    <w:abstractNumId w:val="10"/>
  </w:num>
  <w:num w:numId="17" w16cid:durableId="1581014340">
    <w:abstractNumId w:val="12"/>
  </w:num>
  <w:num w:numId="18" w16cid:durableId="110394390">
    <w:abstractNumId w:val="6"/>
  </w:num>
  <w:num w:numId="19" w16cid:durableId="252318391">
    <w:abstractNumId w:val="8"/>
  </w:num>
  <w:num w:numId="20" w16cid:durableId="834296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60"/>
    <w:rsid w:val="00011957"/>
    <w:rsid w:val="00021982"/>
    <w:rsid w:val="00033C25"/>
    <w:rsid w:val="000364FA"/>
    <w:rsid w:val="000433E0"/>
    <w:rsid w:val="00043415"/>
    <w:rsid w:val="00044B97"/>
    <w:rsid w:val="00050705"/>
    <w:rsid w:val="00051803"/>
    <w:rsid w:val="00054452"/>
    <w:rsid w:val="000740B8"/>
    <w:rsid w:val="00076C2B"/>
    <w:rsid w:val="0007742A"/>
    <w:rsid w:val="0008367E"/>
    <w:rsid w:val="00090E57"/>
    <w:rsid w:val="00092E5C"/>
    <w:rsid w:val="000A0635"/>
    <w:rsid w:val="000A19FF"/>
    <w:rsid w:val="000A4B38"/>
    <w:rsid w:val="000A62CA"/>
    <w:rsid w:val="000A7887"/>
    <w:rsid w:val="000A7FD3"/>
    <w:rsid w:val="000B299F"/>
    <w:rsid w:val="000B6F0C"/>
    <w:rsid w:val="000D3236"/>
    <w:rsid w:val="000D4612"/>
    <w:rsid w:val="000D4EB0"/>
    <w:rsid w:val="000D5DB4"/>
    <w:rsid w:val="000E0230"/>
    <w:rsid w:val="000E4080"/>
    <w:rsid w:val="000E4390"/>
    <w:rsid w:val="000F1A02"/>
    <w:rsid w:val="000F40B3"/>
    <w:rsid w:val="000F5E56"/>
    <w:rsid w:val="000F6799"/>
    <w:rsid w:val="00105D75"/>
    <w:rsid w:val="0010790E"/>
    <w:rsid w:val="00107B4A"/>
    <w:rsid w:val="00110BEB"/>
    <w:rsid w:val="00114DAB"/>
    <w:rsid w:val="00115EF2"/>
    <w:rsid w:val="0011699E"/>
    <w:rsid w:val="00130FCB"/>
    <w:rsid w:val="001310A9"/>
    <w:rsid w:val="001310CA"/>
    <w:rsid w:val="0013262D"/>
    <w:rsid w:val="00137128"/>
    <w:rsid w:val="001408B3"/>
    <w:rsid w:val="00151C0A"/>
    <w:rsid w:val="00160F02"/>
    <w:rsid w:val="00162225"/>
    <w:rsid w:val="00163ADC"/>
    <w:rsid w:val="00164FEB"/>
    <w:rsid w:val="00165209"/>
    <w:rsid w:val="00184D75"/>
    <w:rsid w:val="00185961"/>
    <w:rsid w:val="00186149"/>
    <w:rsid w:val="001872A7"/>
    <w:rsid w:val="0019195D"/>
    <w:rsid w:val="00192E04"/>
    <w:rsid w:val="00193549"/>
    <w:rsid w:val="001A33A5"/>
    <w:rsid w:val="001A385E"/>
    <w:rsid w:val="001A7301"/>
    <w:rsid w:val="001B4DF1"/>
    <w:rsid w:val="001C0962"/>
    <w:rsid w:val="001C64BE"/>
    <w:rsid w:val="001C7477"/>
    <w:rsid w:val="001D129F"/>
    <w:rsid w:val="001D65CD"/>
    <w:rsid w:val="001D7427"/>
    <w:rsid w:val="001E28C9"/>
    <w:rsid w:val="001F00D5"/>
    <w:rsid w:val="001F6E9F"/>
    <w:rsid w:val="00200671"/>
    <w:rsid w:val="00200829"/>
    <w:rsid w:val="00200CE9"/>
    <w:rsid w:val="002116A2"/>
    <w:rsid w:val="00217E00"/>
    <w:rsid w:val="00230F7D"/>
    <w:rsid w:val="00232BD4"/>
    <w:rsid w:val="00237ECF"/>
    <w:rsid w:val="00242553"/>
    <w:rsid w:val="00245E46"/>
    <w:rsid w:val="0024603B"/>
    <w:rsid w:val="00256936"/>
    <w:rsid w:val="00263A47"/>
    <w:rsid w:val="002718B8"/>
    <w:rsid w:val="00283B27"/>
    <w:rsid w:val="002949A2"/>
    <w:rsid w:val="002A5480"/>
    <w:rsid w:val="002A5D9F"/>
    <w:rsid w:val="002A757E"/>
    <w:rsid w:val="002B17EE"/>
    <w:rsid w:val="002B33CB"/>
    <w:rsid w:val="002B3FD7"/>
    <w:rsid w:val="002B508A"/>
    <w:rsid w:val="002B52A2"/>
    <w:rsid w:val="002B7CE2"/>
    <w:rsid w:val="002C1244"/>
    <w:rsid w:val="002C32F1"/>
    <w:rsid w:val="002D0A82"/>
    <w:rsid w:val="002D203F"/>
    <w:rsid w:val="002F0A56"/>
    <w:rsid w:val="002F3BD6"/>
    <w:rsid w:val="00300731"/>
    <w:rsid w:val="00301E84"/>
    <w:rsid w:val="00321D8C"/>
    <w:rsid w:val="00326FFD"/>
    <w:rsid w:val="00345C86"/>
    <w:rsid w:val="00355DF4"/>
    <w:rsid w:val="00356F9D"/>
    <w:rsid w:val="0036094E"/>
    <w:rsid w:val="00360971"/>
    <w:rsid w:val="003628A9"/>
    <w:rsid w:val="00362B6F"/>
    <w:rsid w:val="00366DDA"/>
    <w:rsid w:val="00370DBB"/>
    <w:rsid w:val="00386391"/>
    <w:rsid w:val="00391236"/>
    <w:rsid w:val="00393F94"/>
    <w:rsid w:val="003A2C7B"/>
    <w:rsid w:val="003A7C75"/>
    <w:rsid w:val="003B1FFE"/>
    <w:rsid w:val="003B4AD7"/>
    <w:rsid w:val="003D1491"/>
    <w:rsid w:val="003D2533"/>
    <w:rsid w:val="003D4736"/>
    <w:rsid w:val="003D662B"/>
    <w:rsid w:val="003E3592"/>
    <w:rsid w:val="003E6531"/>
    <w:rsid w:val="003F2368"/>
    <w:rsid w:val="0040251E"/>
    <w:rsid w:val="00406820"/>
    <w:rsid w:val="00412EBE"/>
    <w:rsid w:val="00426AF6"/>
    <w:rsid w:val="00427DB2"/>
    <w:rsid w:val="00431012"/>
    <w:rsid w:val="00431118"/>
    <w:rsid w:val="00432410"/>
    <w:rsid w:val="004400DB"/>
    <w:rsid w:val="00446ED3"/>
    <w:rsid w:val="00462E2D"/>
    <w:rsid w:val="0046468D"/>
    <w:rsid w:val="00465E60"/>
    <w:rsid w:val="0048124A"/>
    <w:rsid w:val="004823A4"/>
    <w:rsid w:val="00483487"/>
    <w:rsid w:val="004910FC"/>
    <w:rsid w:val="004938E8"/>
    <w:rsid w:val="004A09FE"/>
    <w:rsid w:val="004A1BD1"/>
    <w:rsid w:val="004A264D"/>
    <w:rsid w:val="004A5B3E"/>
    <w:rsid w:val="004A7697"/>
    <w:rsid w:val="004B310D"/>
    <w:rsid w:val="004B616D"/>
    <w:rsid w:val="004C778A"/>
    <w:rsid w:val="004D34C3"/>
    <w:rsid w:val="004D40F3"/>
    <w:rsid w:val="004E2FE0"/>
    <w:rsid w:val="004E5F05"/>
    <w:rsid w:val="004F49B5"/>
    <w:rsid w:val="0050595D"/>
    <w:rsid w:val="00507988"/>
    <w:rsid w:val="00520FA4"/>
    <w:rsid w:val="00527307"/>
    <w:rsid w:val="005328AD"/>
    <w:rsid w:val="005371FC"/>
    <w:rsid w:val="00537427"/>
    <w:rsid w:val="00541FEA"/>
    <w:rsid w:val="005456D5"/>
    <w:rsid w:val="005521C2"/>
    <w:rsid w:val="00555F0F"/>
    <w:rsid w:val="00556112"/>
    <w:rsid w:val="00557964"/>
    <w:rsid w:val="005635C7"/>
    <w:rsid w:val="00564EBA"/>
    <w:rsid w:val="00565047"/>
    <w:rsid w:val="00566F02"/>
    <w:rsid w:val="00566FA6"/>
    <w:rsid w:val="00575AC6"/>
    <w:rsid w:val="00581F51"/>
    <w:rsid w:val="0059189E"/>
    <w:rsid w:val="005A0B53"/>
    <w:rsid w:val="005A5ECB"/>
    <w:rsid w:val="005B30FA"/>
    <w:rsid w:val="005B6371"/>
    <w:rsid w:val="005D2458"/>
    <w:rsid w:val="005D51BB"/>
    <w:rsid w:val="005E4A8C"/>
    <w:rsid w:val="005E61AD"/>
    <w:rsid w:val="005F141B"/>
    <w:rsid w:val="005F663B"/>
    <w:rsid w:val="005F7778"/>
    <w:rsid w:val="006016DF"/>
    <w:rsid w:val="006016F2"/>
    <w:rsid w:val="00602AE9"/>
    <w:rsid w:val="00603AB3"/>
    <w:rsid w:val="00603DC5"/>
    <w:rsid w:val="006075D1"/>
    <w:rsid w:val="00611717"/>
    <w:rsid w:val="00612268"/>
    <w:rsid w:val="00615B2B"/>
    <w:rsid w:val="006162A1"/>
    <w:rsid w:val="00627957"/>
    <w:rsid w:val="0063486A"/>
    <w:rsid w:val="00636FAC"/>
    <w:rsid w:val="00640B3D"/>
    <w:rsid w:val="006565D6"/>
    <w:rsid w:val="00664A42"/>
    <w:rsid w:val="006657B9"/>
    <w:rsid w:val="00672D92"/>
    <w:rsid w:val="00673EEC"/>
    <w:rsid w:val="00675ECA"/>
    <w:rsid w:val="00675FC0"/>
    <w:rsid w:val="006853ED"/>
    <w:rsid w:val="0069087F"/>
    <w:rsid w:val="0069120D"/>
    <w:rsid w:val="006920CE"/>
    <w:rsid w:val="006928DE"/>
    <w:rsid w:val="00692DE3"/>
    <w:rsid w:val="006A0ED8"/>
    <w:rsid w:val="006A50DA"/>
    <w:rsid w:val="006A7338"/>
    <w:rsid w:val="006B50D0"/>
    <w:rsid w:val="006B600D"/>
    <w:rsid w:val="006C217C"/>
    <w:rsid w:val="006C3D2D"/>
    <w:rsid w:val="006D1548"/>
    <w:rsid w:val="006D292D"/>
    <w:rsid w:val="006D4904"/>
    <w:rsid w:val="006D544B"/>
    <w:rsid w:val="006D62F0"/>
    <w:rsid w:val="006E38DC"/>
    <w:rsid w:val="006F54C9"/>
    <w:rsid w:val="00701CEF"/>
    <w:rsid w:val="00704149"/>
    <w:rsid w:val="00706199"/>
    <w:rsid w:val="00706D66"/>
    <w:rsid w:val="00713D62"/>
    <w:rsid w:val="00714FE7"/>
    <w:rsid w:val="00715142"/>
    <w:rsid w:val="00725E1E"/>
    <w:rsid w:val="00731010"/>
    <w:rsid w:val="00735A98"/>
    <w:rsid w:val="00737C2A"/>
    <w:rsid w:val="007444BB"/>
    <w:rsid w:val="00746685"/>
    <w:rsid w:val="00750587"/>
    <w:rsid w:val="00762761"/>
    <w:rsid w:val="0077025C"/>
    <w:rsid w:val="00782B25"/>
    <w:rsid w:val="00784F67"/>
    <w:rsid w:val="00785B36"/>
    <w:rsid w:val="00787701"/>
    <w:rsid w:val="007927C8"/>
    <w:rsid w:val="00795431"/>
    <w:rsid w:val="007964B3"/>
    <w:rsid w:val="007A159E"/>
    <w:rsid w:val="007A4050"/>
    <w:rsid w:val="007A46FD"/>
    <w:rsid w:val="007B0056"/>
    <w:rsid w:val="007B240C"/>
    <w:rsid w:val="007B42A4"/>
    <w:rsid w:val="007B783D"/>
    <w:rsid w:val="007C6B37"/>
    <w:rsid w:val="007C7642"/>
    <w:rsid w:val="007C7882"/>
    <w:rsid w:val="007D2E32"/>
    <w:rsid w:val="007D53C7"/>
    <w:rsid w:val="007E0ECD"/>
    <w:rsid w:val="007E1C05"/>
    <w:rsid w:val="007E2566"/>
    <w:rsid w:val="007E45F0"/>
    <w:rsid w:val="007E6BF8"/>
    <w:rsid w:val="007F1A7A"/>
    <w:rsid w:val="007F5ACE"/>
    <w:rsid w:val="00800741"/>
    <w:rsid w:val="00800C36"/>
    <w:rsid w:val="0080171E"/>
    <w:rsid w:val="00804977"/>
    <w:rsid w:val="00804DB7"/>
    <w:rsid w:val="00815464"/>
    <w:rsid w:val="008159CD"/>
    <w:rsid w:val="0081704B"/>
    <w:rsid w:val="008223C5"/>
    <w:rsid w:val="0083164A"/>
    <w:rsid w:val="0083665B"/>
    <w:rsid w:val="00840D1F"/>
    <w:rsid w:val="00844EE0"/>
    <w:rsid w:val="008512D2"/>
    <w:rsid w:val="00851B94"/>
    <w:rsid w:val="008541D1"/>
    <w:rsid w:val="00861371"/>
    <w:rsid w:val="00864346"/>
    <w:rsid w:val="00875155"/>
    <w:rsid w:val="00875E11"/>
    <w:rsid w:val="00880F9F"/>
    <w:rsid w:val="00881BFF"/>
    <w:rsid w:val="00883498"/>
    <w:rsid w:val="00885615"/>
    <w:rsid w:val="00886057"/>
    <w:rsid w:val="008944C1"/>
    <w:rsid w:val="008A079E"/>
    <w:rsid w:val="008B4232"/>
    <w:rsid w:val="008C0109"/>
    <w:rsid w:val="008C2443"/>
    <w:rsid w:val="008C6B1F"/>
    <w:rsid w:val="008C6EBD"/>
    <w:rsid w:val="008D3AF6"/>
    <w:rsid w:val="008F1748"/>
    <w:rsid w:val="00901C90"/>
    <w:rsid w:val="00903645"/>
    <w:rsid w:val="00910302"/>
    <w:rsid w:val="0091306F"/>
    <w:rsid w:val="00920379"/>
    <w:rsid w:val="00920760"/>
    <w:rsid w:val="00925EC8"/>
    <w:rsid w:val="00926ED4"/>
    <w:rsid w:val="00934EDF"/>
    <w:rsid w:val="009422C0"/>
    <w:rsid w:val="00945DF1"/>
    <w:rsid w:val="00946E93"/>
    <w:rsid w:val="00947DEF"/>
    <w:rsid w:val="009500F9"/>
    <w:rsid w:val="00953194"/>
    <w:rsid w:val="0095613A"/>
    <w:rsid w:val="00957348"/>
    <w:rsid w:val="00965F32"/>
    <w:rsid w:val="00972AD6"/>
    <w:rsid w:val="009800E7"/>
    <w:rsid w:val="009826AE"/>
    <w:rsid w:val="00985121"/>
    <w:rsid w:val="0098781F"/>
    <w:rsid w:val="00991972"/>
    <w:rsid w:val="009B0A92"/>
    <w:rsid w:val="009B2D18"/>
    <w:rsid w:val="009B3197"/>
    <w:rsid w:val="009C7088"/>
    <w:rsid w:val="009D51A9"/>
    <w:rsid w:val="009E4A11"/>
    <w:rsid w:val="009E5D9A"/>
    <w:rsid w:val="009E7317"/>
    <w:rsid w:val="009F216A"/>
    <w:rsid w:val="009F3D41"/>
    <w:rsid w:val="00A0733F"/>
    <w:rsid w:val="00A0734E"/>
    <w:rsid w:val="00A12514"/>
    <w:rsid w:val="00A15025"/>
    <w:rsid w:val="00A20AD8"/>
    <w:rsid w:val="00A217AA"/>
    <w:rsid w:val="00A32FA0"/>
    <w:rsid w:val="00A33E2B"/>
    <w:rsid w:val="00A367D7"/>
    <w:rsid w:val="00A40104"/>
    <w:rsid w:val="00A501CC"/>
    <w:rsid w:val="00A504BE"/>
    <w:rsid w:val="00A507A6"/>
    <w:rsid w:val="00A56528"/>
    <w:rsid w:val="00A65759"/>
    <w:rsid w:val="00A74309"/>
    <w:rsid w:val="00A801DD"/>
    <w:rsid w:val="00A820D6"/>
    <w:rsid w:val="00A8559C"/>
    <w:rsid w:val="00A91855"/>
    <w:rsid w:val="00A9570D"/>
    <w:rsid w:val="00A97D7C"/>
    <w:rsid w:val="00AA2EB6"/>
    <w:rsid w:val="00AA4FEC"/>
    <w:rsid w:val="00AA646F"/>
    <w:rsid w:val="00AA7A42"/>
    <w:rsid w:val="00AB069E"/>
    <w:rsid w:val="00AB074F"/>
    <w:rsid w:val="00AB67F4"/>
    <w:rsid w:val="00AC0897"/>
    <w:rsid w:val="00AC2727"/>
    <w:rsid w:val="00AC3C83"/>
    <w:rsid w:val="00AC63F0"/>
    <w:rsid w:val="00AE03F0"/>
    <w:rsid w:val="00AE195B"/>
    <w:rsid w:val="00AE5898"/>
    <w:rsid w:val="00AE5CFD"/>
    <w:rsid w:val="00AF224F"/>
    <w:rsid w:val="00AF6CEA"/>
    <w:rsid w:val="00AF6DEE"/>
    <w:rsid w:val="00B12FE6"/>
    <w:rsid w:val="00B1659A"/>
    <w:rsid w:val="00B23E93"/>
    <w:rsid w:val="00B2417B"/>
    <w:rsid w:val="00B36E14"/>
    <w:rsid w:val="00B40930"/>
    <w:rsid w:val="00B42B24"/>
    <w:rsid w:val="00B476D1"/>
    <w:rsid w:val="00B54FF6"/>
    <w:rsid w:val="00B60E4C"/>
    <w:rsid w:val="00B61223"/>
    <w:rsid w:val="00B62102"/>
    <w:rsid w:val="00B62A5D"/>
    <w:rsid w:val="00B64B81"/>
    <w:rsid w:val="00B64B9C"/>
    <w:rsid w:val="00B736A0"/>
    <w:rsid w:val="00B77C12"/>
    <w:rsid w:val="00B82D9F"/>
    <w:rsid w:val="00B8572A"/>
    <w:rsid w:val="00B956AA"/>
    <w:rsid w:val="00BA2C11"/>
    <w:rsid w:val="00BB2C48"/>
    <w:rsid w:val="00BB3A39"/>
    <w:rsid w:val="00BB7EDE"/>
    <w:rsid w:val="00BC389A"/>
    <w:rsid w:val="00BC3C00"/>
    <w:rsid w:val="00BC41D0"/>
    <w:rsid w:val="00BD4947"/>
    <w:rsid w:val="00BE1A1F"/>
    <w:rsid w:val="00BE61F0"/>
    <w:rsid w:val="00BF1DBB"/>
    <w:rsid w:val="00BF2690"/>
    <w:rsid w:val="00BF533F"/>
    <w:rsid w:val="00C0098D"/>
    <w:rsid w:val="00C00B6E"/>
    <w:rsid w:val="00C02477"/>
    <w:rsid w:val="00C02EC7"/>
    <w:rsid w:val="00C06C79"/>
    <w:rsid w:val="00C134D4"/>
    <w:rsid w:val="00C25CE2"/>
    <w:rsid w:val="00C264AF"/>
    <w:rsid w:val="00C2739A"/>
    <w:rsid w:val="00C3308A"/>
    <w:rsid w:val="00C35BD3"/>
    <w:rsid w:val="00C44241"/>
    <w:rsid w:val="00C46FB0"/>
    <w:rsid w:val="00C47ED4"/>
    <w:rsid w:val="00C51230"/>
    <w:rsid w:val="00C554EC"/>
    <w:rsid w:val="00C56F70"/>
    <w:rsid w:val="00C60712"/>
    <w:rsid w:val="00C608F6"/>
    <w:rsid w:val="00C74BDA"/>
    <w:rsid w:val="00C75A55"/>
    <w:rsid w:val="00C76070"/>
    <w:rsid w:val="00C7610E"/>
    <w:rsid w:val="00C77CDE"/>
    <w:rsid w:val="00C77E22"/>
    <w:rsid w:val="00C872C2"/>
    <w:rsid w:val="00C8731E"/>
    <w:rsid w:val="00C91EDD"/>
    <w:rsid w:val="00C933C7"/>
    <w:rsid w:val="00C971AF"/>
    <w:rsid w:val="00CA4F77"/>
    <w:rsid w:val="00CA5E8A"/>
    <w:rsid w:val="00CB1072"/>
    <w:rsid w:val="00CB1E66"/>
    <w:rsid w:val="00CB37D2"/>
    <w:rsid w:val="00CB5016"/>
    <w:rsid w:val="00CC3AF0"/>
    <w:rsid w:val="00CC7DE8"/>
    <w:rsid w:val="00CD0456"/>
    <w:rsid w:val="00CD6472"/>
    <w:rsid w:val="00CD6A7E"/>
    <w:rsid w:val="00CE24EC"/>
    <w:rsid w:val="00CE3747"/>
    <w:rsid w:val="00CF26CC"/>
    <w:rsid w:val="00CF2BDF"/>
    <w:rsid w:val="00CF67BA"/>
    <w:rsid w:val="00D00099"/>
    <w:rsid w:val="00D37FA0"/>
    <w:rsid w:val="00D519DE"/>
    <w:rsid w:val="00D55980"/>
    <w:rsid w:val="00D65C1F"/>
    <w:rsid w:val="00D7122B"/>
    <w:rsid w:val="00D7634D"/>
    <w:rsid w:val="00D829A1"/>
    <w:rsid w:val="00D83C2C"/>
    <w:rsid w:val="00D91996"/>
    <w:rsid w:val="00D94686"/>
    <w:rsid w:val="00DA2050"/>
    <w:rsid w:val="00DA509B"/>
    <w:rsid w:val="00DB1152"/>
    <w:rsid w:val="00DB1489"/>
    <w:rsid w:val="00DC3EA2"/>
    <w:rsid w:val="00DC5FC5"/>
    <w:rsid w:val="00DC79FC"/>
    <w:rsid w:val="00DD0EEA"/>
    <w:rsid w:val="00DD4AA3"/>
    <w:rsid w:val="00DE7ABA"/>
    <w:rsid w:val="00DE7CF6"/>
    <w:rsid w:val="00DF0D86"/>
    <w:rsid w:val="00DF6AF9"/>
    <w:rsid w:val="00E03B9E"/>
    <w:rsid w:val="00E11DA8"/>
    <w:rsid w:val="00E12E01"/>
    <w:rsid w:val="00E13815"/>
    <w:rsid w:val="00E1708A"/>
    <w:rsid w:val="00E4599F"/>
    <w:rsid w:val="00E51B26"/>
    <w:rsid w:val="00E70B4C"/>
    <w:rsid w:val="00E71CC7"/>
    <w:rsid w:val="00E74469"/>
    <w:rsid w:val="00E83379"/>
    <w:rsid w:val="00E86E2E"/>
    <w:rsid w:val="00E87947"/>
    <w:rsid w:val="00E87A44"/>
    <w:rsid w:val="00E87CCC"/>
    <w:rsid w:val="00E90888"/>
    <w:rsid w:val="00EA03D6"/>
    <w:rsid w:val="00EA616D"/>
    <w:rsid w:val="00EB0A03"/>
    <w:rsid w:val="00EB2BDC"/>
    <w:rsid w:val="00EB2EFD"/>
    <w:rsid w:val="00EB73A9"/>
    <w:rsid w:val="00EC2C3E"/>
    <w:rsid w:val="00EC4705"/>
    <w:rsid w:val="00ED1615"/>
    <w:rsid w:val="00EE5B0A"/>
    <w:rsid w:val="00EE6B63"/>
    <w:rsid w:val="00EF1B53"/>
    <w:rsid w:val="00EF4234"/>
    <w:rsid w:val="00EF66B1"/>
    <w:rsid w:val="00EF6C6B"/>
    <w:rsid w:val="00F0387F"/>
    <w:rsid w:val="00F03C68"/>
    <w:rsid w:val="00F050B6"/>
    <w:rsid w:val="00F07D91"/>
    <w:rsid w:val="00F12CC7"/>
    <w:rsid w:val="00F1632E"/>
    <w:rsid w:val="00F30BA3"/>
    <w:rsid w:val="00F3367C"/>
    <w:rsid w:val="00F40A95"/>
    <w:rsid w:val="00F44760"/>
    <w:rsid w:val="00F44832"/>
    <w:rsid w:val="00F55479"/>
    <w:rsid w:val="00F61F09"/>
    <w:rsid w:val="00F656AD"/>
    <w:rsid w:val="00F67CC3"/>
    <w:rsid w:val="00F76882"/>
    <w:rsid w:val="00F86C0D"/>
    <w:rsid w:val="00F97F29"/>
    <w:rsid w:val="00FA33C2"/>
    <w:rsid w:val="00FA3DD8"/>
    <w:rsid w:val="00FA4539"/>
    <w:rsid w:val="00FB4209"/>
    <w:rsid w:val="00FC4460"/>
    <w:rsid w:val="00FD02FC"/>
    <w:rsid w:val="00FD0C14"/>
    <w:rsid w:val="00FD2945"/>
    <w:rsid w:val="00FD748E"/>
    <w:rsid w:val="00FE7699"/>
    <w:rsid w:val="00FE7E7D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84881"/>
  <w15:chartTrackingRefBased/>
  <w15:docId w15:val="{6AD807FE-DB21-403C-B1CB-4E26953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447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widowControl/>
      <w:autoSpaceDE/>
      <w:autoSpaceDN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widowControl/>
      <w:autoSpaceDE/>
      <w:autoSpaceDN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widowControl/>
      <w:autoSpaceDE/>
      <w:autoSpaceDN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widowControl/>
      <w:autoSpaceDE/>
      <w:autoSpaceDN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536"/>
        <w:tab w:val="right" w:pos="9072"/>
      </w:tabs>
      <w:autoSpaceDE/>
      <w:autoSpaceDN/>
    </w:pPr>
    <w:rPr>
      <w:rFonts w:eastAsia="Times New Roman"/>
      <w:szCs w:val="20"/>
    </w:rPr>
  </w:style>
  <w:style w:type="paragraph" w:styleId="Footer">
    <w:name w:val="footer"/>
    <w:basedOn w:val="Normal"/>
    <w:semiHidden/>
    <w:rsid w:val="00804DB7"/>
    <w:pPr>
      <w:widowControl/>
      <w:tabs>
        <w:tab w:val="center" w:pos="4320"/>
        <w:tab w:val="right" w:pos="8640"/>
      </w:tabs>
      <w:autoSpaceDE/>
      <w:autoSpaceDN/>
    </w:pPr>
    <w:rPr>
      <w:rFonts w:eastAsia="Times New Roman"/>
      <w:szCs w:val="20"/>
    </w:rPr>
  </w:style>
  <w:style w:type="paragraph" w:styleId="Salutation">
    <w:name w:val="Salutation"/>
    <w:basedOn w:val="Normal"/>
    <w:next w:val="Normal"/>
    <w:semiHidden/>
    <w:rsid w:val="00804DB7"/>
    <w:pPr>
      <w:widowControl/>
      <w:autoSpaceDE/>
      <w:autoSpaceDN/>
    </w:pPr>
    <w:rPr>
      <w:rFonts w:eastAsia="Times New Roman"/>
      <w:szCs w:val="20"/>
    </w:rPr>
  </w:style>
  <w:style w:type="paragraph" w:styleId="Signature">
    <w:name w:val="Signature"/>
    <w:basedOn w:val="Normal"/>
    <w:semiHidden/>
    <w:rsid w:val="00804DB7"/>
    <w:pPr>
      <w:widowControl/>
      <w:autoSpaceDE/>
      <w:autoSpaceDN/>
      <w:ind w:left="5250"/>
    </w:pPr>
    <w:rPr>
      <w:rFonts w:eastAsia="Times New Roman"/>
      <w:szCs w:val="20"/>
    </w:rPr>
  </w:style>
  <w:style w:type="paragraph" w:styleId="FootnoteText">
    <w:name w:val="footnote text"/>
    <w:basedOn w:val="Normal"/>
    <w:semiHidden/>
    <w:rsid w:val="00804DB7"/>
    <w:pPr>
      <w:widowControl/>
      <w:autoSpaceDE/>
      <w:autoSpaceDN/>
    </w:pPr>
    <w:rPr>
      <w:rFonts w:eastAsia="Times New Roman"/>
      <w:sz w:val="18"/>
      <w:szCs w:val="20"/>
    </w:rPr>
  </w:style>
  <w:style w:type="paragraph" w:styleId="EndnoteText">
    <w:name w:val="endnote text"/>
    <w:basedOn w:val="Normal"/>
    <w:semiHidden/>
    <w:rsid w:val="00804DB7"/>
    <w:pPr>
      <w:widowControl/>
      <w:autoSpaceDE/>
      <w:autoSpaceDN/>
    </w:pPr>
    <w:rPr>
      <w:rFonts w:eastAsia="Times New Roman"/>
      <w:sz w:val="18"/>
      <w:szCs w:val="20"/>
    </w:rPr>
  </w:style>
  <w:style w:type="paragraph" w:styleId="Caption">
    <w:name w:val="caption"/>
    <w:basedOn w:val="Normal"/>
    <w:next w:val="Normal"/>
    <w:qFormat/>
    <w:rsid w:val="00804DB7"/>
    <w:pPr>
      <w:widowControl/>
      <w:autoSpaceDE/>
      <w:autoSpaceDN/>
    </w:pPr>
    <w:rPr>
      <w:rFonts w:eastAsia="Times New Roman"/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804DB7"/>
    <w:pPr>
      <w:widowControl/>
      <w:autoSpaceDE/>
      <w:autoSpaceDN/>
    </w:pPr>
    <w:rPr>
      <w:rFonts w:eastAsia="Times New Roman"/>
      <w:sz w:val="18"/>
      <w:szCs w:val="20"/>
    </w:rPr>
  </w:style>
  <w:style w:type="paragraph" w:styleId="BodyText">
    <w:name w:val="Body Text"/>
    <w:basedOn w:val="Normal"/>
    <w:uiPriority w:val="1"/>
    <w:qFormat/>
    <w:rsid w:val="00804DB7"/>
    <w:pPr>
      <w:widowControl/>
      <w:autoSpaceDE/>
      <w:autoSpaceDN/>
      <w:spacing w:after="220"/>
    </w:pPr>
    <w:rPr>
      <w:rFonts w:eastAsia="Times New Roman"/>
      <w:szCs w:val="20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widowControl/>
      <w:numPr>
        <w:numId w:val="6"/>
      </w:numPr>
      <w:autoSpaceDE/>
      <w:autoSpaceDN/>
    </w:pPr>
    <w:rPr>
      <w:rFonts w:eastAsia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F44760"/>
  </w:style>
  <w:style w:type="character" w:styleId="Hyperlink">
    <w:name w:val="Hyperlink"/>
    <w:basedOn w:val="DefaultParagraphFont"/>
    <w:unhideWhenUsed/>
    <w:rsid w:val="00C330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A2050"/>
    <w:rPr>
      <w:color w:val="800080" w:themeColor="followedHyperlink"/>
      <w:u w:val="single"/>
    </w:rPr>
  </w:style>
  <w:style w:type="character" w:customStyle="1" w:styleId="Heading3Char">
    <w:name w:val="Heading 3 Char"/>
    <w:link w:val="Heading3"/>
    <w:rsid w:val="002D203F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2Char">
    <w:name w:val="Heading 2 Char"/>
    <w:link w:val="Heading2"/>
    <w:rsid w:val="002D203F"/>
    <w:rPr>
      <w:rFonts w:ascii="Arial" w:eastAsia="SimSun" w:hAnsi="Arial" w:cs="Arial"/>
      <w:bCs/>
      <w:iCs/>
      <w:caps/>
      <w:sz w:val="22"/>
      <w:szCs w:val="28"/>
    </w:rPr>
  </w:style>
  <w:style w:type="character" w:styleId="CommentReference">
    <w:name w:val="annotation reference"/>
    <w:basedOn w:val="DefaultParagraphFont"/>
    <w:semiHidden/>
    <w:unhideWhenUsed/>
    <w:rsid w:val="007F1A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A7A"/>
    <w:pPr>
      <w:widowControl w:val="0"/>
      <w:autoSpaceDE w:val="0"/>
      <w:autoSpaceDN w:val="0"/>
    </w:pPr>
    <w:rPr>
      <w:rFonts w:eastAsia="Arial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A7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7F1A7A"/>
    <w:rPr>
      <w:rFonts w:ascii="Arial" w:eastAsia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7F1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1A7A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EFD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C3EA2"/>
    <w:rPr>
      <w:vertAlign w:val="superscript"/>
    </w:rPr>
  </w:style>
  <w:style w:type="paragraph" w:customStyle="1" w:styleId="Endofdocument-Annex">
    <w:name w:val="[End of document - Annex]"/>
    <w:basedOn w:val="Normal"/>
    <w:rsid w:val="005635C7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F6E9F"/>
    <w:rPr>
      <w:color w:val="605E5C"/>
      <w:shd w:val="clear" w:color="auto" w:fill="E1DFDD"/>
    </w:rPr>
  </w:style>
  <w:style w:type="table" w:styleId="TableGrid">
    <w:name w:val="Table Grid"/>
    <w:basedOn w:val="TableNormal"/>
    <w:rsid w:val="00B4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98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38309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66037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2000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35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11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wipo.int/tisc/ru/inventions-public-domain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ipo.int/tisc/ru/inventions-public-domain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ru/doc_details.jsp?doc_id=55208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ipo.int/ip-development/ru/agenda/recommendations.html" TargetMode="External"/><Relationship Id="rId20" Type="http://schemas.openxmlformats.org/officeDocument/2006/relationships/hyperlink" Target="https://www.wipo.int/tisc/ru/inventions-public-domai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552082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.wipo.int/meetings/ru/doc_details.jsp?doc_id=5827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acatalogue.wipo.int/projects/DA_16_20_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3A58-8EA0-4A6E-8875-C190B94D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2552</Words>
  <Characters>18730</Characters>
  <Application>Microsoft Office Word</Application>
  <DocSecurity>0</DocSecurity>
  <Lines>156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RIECHEL Alex</dc:creator>
  <cp:keywords>FOR OFFICIAL USE ONLY</cp:keywords>
  <dc:description/>
  <cp:lastModifiedBy>PANAKAL Joseph Lazar</cp:lastModifiedBy>
  <cp:revision>2</cp:revision>
  <cp:lastPrinted>2024-02-05T17:58:00Z</cp:lastPrinted>
  <dcterms:created xsi:type="dcterms:W3CDTF">2024-02-21T09:41:00Z</dcterms:created>
  <dcterms:modified xsi:type="dcterms:W3CDTF">2024-02-21T09:41:00Z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ad359dd2-f8f2-43aa-ba48-1365bdb9f857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2023-06-21T16:09:54Z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a7d8c4c0-7519-462f-942c-4ee6b0352848</vt:lpwstr>
  </property>
  <property fmtid="{D5CDD505-2E9C-101B-9397-08002B2CF9AE}" pid="13" name="MSIP_Label_20773ee6-353b-4fb9-a59d-0b94c8c67bea_ContentBits">
    <vt:lpwstr>0</vt:lpwstr>
  </property>
</Properties>
</file>